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156" w:afterLines="50" w:line="220" w:lineRule="exact"/>
        <w:jc w:val="center"/>
        <w:outlineLvl w:val="2"/>
        <w:rPr>
          <w:rFonts w:ascii="宋体" w:hAnsi="宋体"/>
          <w:sz w:val="32"/>
          <w:szCs w:val="32"/>
        </w:rPr>
      </w:pPr>
      <w:r>
        <w:rPr>
          <w:rFonts w:hint="eastAsia" w:ascii="宋体" w:hAnsi="宋体"/>
          <w:sz w:val="32"/>
          <w:szCs w:val="32"/>
        </w:rPr>
        <w:t>产业活动单位基本情况</w:t>
      </w:r>
    </w:p>
    <w:p>
      <w:pPr>
        <w:spacing w:line="20" w:lineRule="exact"/>
        <w:ind w:firstLine="4590" w:firstLineChars="2550"/>
        <w:rPr>
          <w:rFonts w:ascii="宋体" w:hAnsi="宋体"/>
          <w:sz w:val="18"/>
          <w:szCs w:val="18"/>
        </w:rPr>
      </w:pPr>
    </w:p>
    <w:tbl>
      <w:tblPr>
        <w:tblStyle w:val="5"/>
        <w:tblW w:w="9425" w:type="dxa"/>
        <w:jc w:val="center"/>
        <w:tblInd w:w="0" w:type="dxa"/>
        <w:tblLayout w:type="fixed"/>
        <w:tblCellMar>
          <w:top w:w="0" w:type="dxa"/>
          <w:left w:w="108" w:type="dxa"/>
          <w:bottom w:w="0" w:type="dxa"/>
          <w:right w:w="108" w:type="dxa"/>
        </w:tblCellMar>
      </w:tblPr>
      <w:tblGrid>
        <w:gridCol w:w="1783"/>
        <w:gridCol w:w="1909"/>
        <w:gridCol w:w="3081"/>
        <w:gridCol w:w="889"/>
        <w:gridCol w:w="1763"/>
      </w:tblGrid>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1763"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ＭＬＫ１０１－２表</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1763"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1763"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3081" w:type="dxa"/>
            <w:vAlign w:val="top"/>
          </w:tcPr>
          <w:p>
            <w:pPr>
              <w:spacing w:line="240" w:lineRule="exact"/>
              <w:jc w:val="center"/>
              <w:rPr>
                <w:rFonts w:ascii="宋体" w:hAnsi="宋体" w:cs="宋体"/>
                <w:sz w:val="32"/>
                <w:szCs w:val="32"/>
              </w:rPr>
            </w:pPr>
          </w:p>
        </w:tc>
        <w:tc>
          <w:tcPr>
            <w:tcW w:w="889"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1763" w:type="dxa"/>
            <w:tcMar>
              <w:left w:w="28" w:type="dxa"/>
              <w:right w:w="28" w:type="dxa"/>
            </w:tcMar>
            <w:vAlign w:val="top"/>
          </w:tcPr>
          <w:p>
            <w:pPr>
              <w:spacing w:line="240" w:lineRule="exact"/>
              <w:jc w:val="distribute"/>
              <w:rPr>
                <w:rFonts w:ascii="宋体" w:hAnsi="宋体" w:cs="宋体"/>
                <w:sz w:val="32"/>
                <w:szCs w:val="32"/>
              </w:rPr>
            </w:pPr>
            <w:r>
              <w:rPr>
                <w:rFonts w:hint="eastAsia" w:ascii="宋体" w:hAnsi="宋体"/>
                <w:sz w:val="18"/>
                <w:szCs w:val="18"/>
              </w:rPr>
              <w:t>２０２１</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firstLine="4590" w:firstLineChars="2550"/>
        <w:rPr>
          <w:rFonts w:ascii="宋体" w:hAnsi="宋体"/>
          <w:sz w:val="18"/>
          <w:szCs w:val="18"/>
        </w:rPr>
      </w:pPr>
    </w:p>
    <w:tbl>
      <w:tblPr>
        <w:tblStyle w:val="5"/>
        <w:tblW w:w="9423"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80"/>
        <w:gridCol w:w="4205"/>
        <w:gridCol w:w="566"/>
        <w:gridCol w:w="4172"/>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40" w:hRule="atLeast"/>
          <w:jc w:val="center"/>
        </w:trPr>
        <w:tc>
          <w:tcPr>
            <w:tcW w:w="480" w:type="dxa"/>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hint="eastAsia" w:ascii="宋体" w:hAnsi="宋体"/>
                <w:sz w:val="18"/>
                <w:szCs w:val="18"/>
              </w:rPr>
              <w:t>00</w:t>
            </w:r>
          </w:p>
        </w:tc>
        <w:tc>
          <w:tcPr>
            <w:tcW w:w="4205" w:type="dxa"/>
            <w:vMerge w:val="restart"/>
            <w:tcMar>
              <w:top w:w="0" w:type="dxa"/>
              <w:bottom w:w="0" w:type="dxa"/>
            </w:tcMar>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ascii="宋体" w:hAnsi="宋体"/>
                <w:sz w:val="18"/>
                <w:szCs w:val="18"/>
              </w:rPr>
            </w:pPr>
            <w:r>
              <w:rPr>
                <w:rFonts w:hint="eastAsia" w:ascii="宋体" w:hAnsi="宋体"/>
                <w:sz w:val="18"/>
                <w:szCs w:val="18"/>
              </w:rPr>
              <w:t>单位类别  □</w:t>
            </w:r>
          </w:p>
          <w:p>
            <w:pPr>
              <w:keepNext w:val="0"/>
              <w:keepLines w:val="0"/>
              <w:pageBreakBefore w:val="0"/>
              <w:kinsoku/>
              <w:wordWrap/>
              <w:overflowPunct/>
              <w:topLinePunct w:val="0"/>
              <w:autoSpaceDE/>
              <w:autoSpaceDN/>
              <w:bidi w:val="0"/>
              <w:adjustRightInd w:val="0"/>
              <w:spacing w:line="240" w:lineRule="exact"/>
              <w:ind w:firstLine="180" w:firstLineChars="100"/>
              <w:textAlignment w:val="auto"/>
              <w:outlineLvl w:val="9"/>
              <w:rPr>
                <w:rFonts w:ascii="宋体" w:hAnsi="宋体"/>
                <w:sz w:val="18"/>
                <w:szCs w:val="18"/>
              </w:rPr>
            </w:pPr>
            <w:r>
              <w:rPr>
                <w:rFonts w:hint="eastAsia" w:ascii="宋体" w:hAnsi="宋体"/>
                <w:sz w:val="18"/>
                <w:szCs w:val="18"/>
              </w:rPr>
              <w:t>1法人单位本部</w:t>
            </w:r>
            <w:r>
              <w:rPr>
                <w:rFonts w:ascii="宋体" w:hAnsi="宋体"/>
                <w:sz w:val="18"/>
                <w:szCs w:val="18"/>
              </w:rPr>
              <w:t>(</w:t>
            </w:r>
            <w:r>
              <w:rPr>
                <w:rFonts w:hint="eastAsia" w:ascii="宋体" w:hAnsi="宋体"/>
                <w:sz w:val="18"/>
                <w:szCs w:val="18"/>
              </w:rPr>
              <w:t>总部、本店、本所等</w:t>
            </w:r>
            <w:r>
              <w:rPr>
                <w:rFonts w:ascii="宋体" w:hAnsi="宋体"/>
                <w:sz w:val="18"/>
                <w:szCs w:val="18"/>
              </w:rPr>
              <w:t>)</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4" w:leftChars="2" w:firstLine="180" w:firstLineChars="100"/>
              <w:textAlignment w:val="auto"/>
              <w:outlineLvl w:val="9"/>
              <w:rPr>
                <w:rFonts w:ascii="宋体" w:hAnsi="宋体" w:cs="宋体"/>
                <w:sz w:val="18"/>
                <w:szCs w:val="18"/>
              </w:rPr>
            </w:pPr>
            <w:r>
              <w:rPr>
                <w:rFonts w:hint="eastAsia" w:ascii="宋体" w:hAnsi="宋体"/>
                <w:sz w:val="18"/>
                <w:szCs w:val="18"/>
              </w:rPr>
              <w:t>2法人单位分支机构</w:t>
            </w:r>
            <w:r>
              <w:rPr>
                <w:rFonts w:ascii="宋体" w:hAnsi="宋体"/>
                <w:sz w:val="18"/>
                <w:szCs w:val="18"/>
              </w:rPr>
              <w:t>(</w:t>
            </w:r>
            <w:r>
              <w:rPr>
                <w:rFonts w:hint="eastAsia" w:ascii="宋体" w:hAnsi="宋体"/>
                <w:sz w:val="18"/>
                <w:szCs w:val="18"/>
              </w:rPr>
              <w:t>分部、分厂、分店、支所等</w:t>
            </w:r>
            <w:r>
              <w:rPr>
                <w:rFonts w:ascii="宋体" w:hAnsi="宋体"/>
                <w:sz w:val="18"/>
                <w:szCs w:val="18"/>
              </w:rPr>
              <w:t>)</w:t>
            </w:r>
          </w:p>
        </w:tc>
        <w:tc>
          <w:tcPr>
            <w:tcW w:w="566" w:type="dxa"/>
            <w:vAlign w:val="center"/>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jc w:val="center"/>
              <w:textAlignment w:val="auto"/>
              <w:outlineLvl w:val="9"/>
              <w:rPr>
                <w:rFonts w:ascii="宋体" w:hAnsi="宋体" w:cs="宋体"/>
                <w:sz w:val="18"/>
                <w:szCs w:val="18"/>
              </w:rPr>
            </w:pPr>
            <w:r>
              <w:rPr>
                <w:rFonts w:ascii="宋体" w:hAnsi="宋体" w:cs="宋体"/>
                <w:sz w:val="18"/>
                <w:szCs w:val="18"/>
              </w:rPr>
              <w:t>01</w:t>
            </w:r>
          </w:p>
        </w:tc>
        <w:tc>
          <w:tcPr>
            <w:tcW w:w="4172" w:type="dxa"/>
            <w:vAlign w:val="top"/>
          </w:tcPr>
          <w:p>
            <w:pPr>
              <w:keepNext w:val="0"/>
              <w:keepLines w:val="0"/>
              <w:pageBreakBefore w:val="0"/>
              <w:kinsoku/>
              <w:wordWrap/>
              <w:overflowPunct/>
              <w:topLinePunct w:val="0"/>
              <w:autoSpaceDE/>
              <w:autoSpaceDN/>
              <w:bidi w:val="0"/>
              <w:snapToGrid w:val="0"/>
              <w:spacing w:line="24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4" w:leftChars="2" w:firstLine="630" w:firstLineChars="350"/>
              <w:jc w:val="left"/>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snapToGrid w:val="0"/>
              <w:spacing w:line="240" w:lineRule="exact"/>
              <w:ind w:left="630" w:hanging="630" w:hangingChars="350"/>
              <w:jc w:val="left"/>
              <w:textAlignment w:val="auto"/>
              <w:outlineLvl w:val="9"/>
              <w:rPr>
                <w:rFonts w:hint="eastAsia" w:ascii="宋体" w:hAnsi="宋体" w:cs="宋体"/>
                <w:sz w:val="18"/>
                <w:szCs w:val="18"/>
              </w:rPr>
            </w:pPr>
            <w:r>
              <w:rPr>
                <w:rFonts w:hint="eastAsia" w:ascii="楷体_GB2312" w:hAnsi="宋体" w:eastAsia="楷体_GB2312" w:cs="宋体"/>
                <w:sz w:val="18"/>
                <w:szCs w:val="18"/>
              </w:rPr>
              <w:t>尚未领取统一社会信用代码的填写原组织机构代码</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38" w:hRule="atLeast"/>
          <w:jc w:val="center"/>
        </w:trPr>
        <w:tc>
          <w:tcPr>
            <w:tcW w:w="480" w:type="dxa"/>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b/>
                <w:sz w:val="18"/>
                <w:szCs w:val="18"/>
              </w:rPr>
            </w:pPr>
          </w:p>
        </w:tc>
        <w:tc>
          <w:tcPr>
            <w:tcW w:w="4205" w:type="dxa"/>
            <w:vMerge w:val="continue"/>
            <w:tcMar>
              <w:top w:w="0" w:type="dxa"/>
              <w:bottom w:w="0" w:type="dxa"/>
            </w:tcMar>
            <w:vAlign w:val="bottom"/>
          </w:tcPr>
          <w:p>
            <w:pPr>
              <w:keepNext w:val="0"/>
              <w:keepLines w:val="0"/>
              <w:pageBreakBefore w:val="0"/>
              <w:kinsoku/>
              <w:wordWrap/>
              <w:overflowPunct/>
              <w:topLinePunct w:val="0"/>
              <w:autoSpaceDE/>
              <w:autoSpaceDN/>
              <w:bidi w:val="0"/>
              <w:adjustRightInd w:val="0"/>
              <w:spacing w:line="240" w:lineRule="exact"/>
              <w:textAlignment w:val="auto"/>
              <w:outlineLvl w:val="9"/>
              <w:rPr>
                <w:rFonts w:ascii="宋体" w:hAnsi="宋体"/>
                <w:sz w:val="18"/>
                <w:szCs w:val="18"/>
              </w:rPr>
            </w:pPr>
          </w:p>
        </w:tc>
        <w:tc>
          <w:tcPr>
            <w:tcW w:w="566"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jc w:val="center"/>
              <w:textAlignment w:val="auto"/>
              <w:outlineLvl w:val="9"/>
              <w:rPr>
                <w:rFonts w:ascii="宋体" w:hAnsi="宋体" w:cs="宋体"/>
                <w:sz w:val="18"/>
                <w:szCs w:val="18"/>
              </w:rPr>
            </w:pPr>
            <w:r>
              <w:rPr>
                <w:rFonts w:ascii="宋体" w:hAnsi="宋体" w:cs="宋体"/>
                <w:sz w:val="18"/>
                <w:szCs w:val="18"/>
              </w:rPr>
              <w:t>02</w:t>
            </w:r>
          </w:p>
        </w:tc>
        <w:tc>
          <w:tcPr>
            <w:tcW w:w="4172"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38" w:hRule="atLeast"/>
          <w:jc w:val="center"/>
        </w:trPr>
        <w:tc>
          <w:tcPr>
            <w:tcW w:w="480" w:type="dxa"/>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b/>
                <w:sz w:val="18"/>
                <w:szCs w:val="18"/>
              </w:rPr>
            </w:pPr>
          </w:p>
        </w:tc>
        <w:tc>
          <w:tcPr>
            <w:tcW w:w="4205" w:type="dxa"/>
            <w:vMerge w:val="continue"/>
            <w:tcMar>
              <w:top w:w="0" w:type="dxa"/>
              <w:bottom w:w="0" w:type="dxa"/>
            </w:tcMar>
            <w:vAlign w:val="bottom"/>
          </w:tcPr>
          <w:p>
            <w:pPr>
              <w:keepNext w:val="0"/>
              <w:keepLines w:val="0"/>
              <w:pageBreakBefore w:val="0"/>
              <w:kinsoku/>
              <w:wordWrap/>
              <w:overflowPunct/>
              <w:topLinePunct w:val="0"/>
              <w:autoSpaceDE/>
              <w:autoSpaceDN/>
              <w:bidi w:val="0"/>
              <w:adjustRightInd w:val="0"/>
              <w:spacing w:line="240" w:lineRule="exact"/>
              <w:textAlignment w:val="auto"/>
              <w:outlineLvl w:val="9"/>
              <w:rPr>
                <w:rFonts w:ascii="宋体" w:hAnsi="宋体"/>
                <w:sz w:val="18"/>
                <w:szCs w:val="18"/>
              </w:rPr>
            </w:pPr>
          </w:p>
        </w:tc>
        <w:tc>
          <w:tcPr>
            <w:tcW w:w="566"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jc w:val="center"/>
              <w:textAlignment w:val="auto"/>
              <w:outlineLvl w:val="9"/>
              <w:rPr>
                <w:rFonts w:ascii="宋体" w:hAnsi="宋体" w:cs="宋体"/>
                <w:sz w:val="18"/>
                <w:szCs w:val="18"/>
              </w:rPr>
            </w:pPr>
            <w:r>
              <w:rPr>
                <w:rFonts w:ascii="宋体" w:hAnsi="宋体" w:cs="宋体"/>
                <w:sz w:val="18"/>
                <w:szCs w:val="18"/>
              </w:rPr>
              <w:t>03</w:t>
            </w:r>
          </w:p>
        </w:tc>
        <w:tc>
          <w:tcPr>
            <w:tcW w:w="4172"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jc w:val="left"/>
              <w:textAlignment w:val="auto"/>
              <w:outlineLvl w:val="9"/>
              <w:rPr>
                <w:rFonts w:ascii="宋体" w:hAnsi="宋体" w:cs="宋体"/>
                <w:sz w:val="18"/>
                <w:szCs w:val="18"/>
              </w:rPr>
            </w:pPr>
            <w:r>
              <w:rPr>
                <w:rFonts w:hint="eastAsia" w:ascii="宋体" w:hAnsi="宋体" w:cs="宋体"/>
                <w:sz w:val="18"/>
                <w:szCs w:val="18"/>
              </w:rPr>
              <w:t>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ascii="宋体" w:hAnsi="宋体" w:cs="宋体"/>
                <w:sz w:val="18"/>
                <w:szCs w:val="18"/>
              </w:rPr>
              <w:t>04</w:t>
            </w:r>
          </w:p>
        </w:tc>
        <w:tc>
          <w:tcPr>
            <w:tcW w:w="8943"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val="0"/>
              <w:snapToGrid w:val="0"/>
              <w:spacing w:line="240" w:lineRule="exact"/>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outlineLvl w:val="9"/>
              <w:rPr>
                <w:rFonts w:ascii="宋体" w:hAnsi="宋体" w:cs="宋体"/>
                <w:sz w:val="18"/>
                <w:szCs w:val="18"/>
              </w:rPr>
            </w:pPr>
            <w:r>
              <w:rPr>
                <w:rFonts w:ascii="宋体" w:hAnsi="宋体" w:cs="宋体"/>
                <w:sz w:val="18"/>
                <w:szCs w:val="18"/>
              </w:rPr>
              <w:t>05</w:t>
            </w:r>
          </w:p>
        </w:tc>
        <w:tc>
          <w:tcPr>
            <w:tcW w:w="4205" w:type="dxa"/>
            <w:tcMar>
              <w:top w:w="0" w:type="dxa"/>
              <w:bottom w:w="0" w:type="dxa"/>
            </w:tcMar>
            <w:vAlign w:val="bottom"/>
          </w:tcPr>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widowControl w:val="0"/>
              <w:kinsoku/>
              <w:wordWrap/>
              <w:overflowPunct/>
              <w:topLinePunct w:val="0"/>
              <w:autoSpaceDE/>
              <w:autoSpaceDN/>
              <w:bidi w:val="0"/>
              <w:adjustRightInd/>
              <w:snapToGrid w:val="0"/>
              <w:spacing w:line="20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widowControl w:val="0"/>
              <w:kinsoku/>
              <w:wordWrap/>
              <w:overflowPunct/>
              <w:topLinePunct w:val="0"/>
              <w:autoSpaceDE/>
              <w:autoSpaceDN/>
              <w:bidi w:val="0"/>
              <w:adjustRightInd/>
              <w:snapToGrid w:val="0"/>
              <w:spacing w:line="20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widowControl w:val="0"/>
              <w:kinsoku/>
              <w:wordWrap/>
              <w:overflowPunct/>
              <w:topLinePunct w:val="0"/>
              <w:autoSpaceDE/>
              <w:autoSpaceDN/>
              <w:bidi w:val="0"/>
              <w:adjustRightInd/>
              <w:snapToGrid w:val="0"/>
              <w:spacing w:line="20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widowControl w:val="0"/>
              <w:kinsoku/>
              <w:wordWrap/>
              <w:overflowPunct/>
              <w:topLinePunct w:val="0"/>
              <w:autoSpaceDE/>
              <w:autoSpaceDN/>
              <w:bidi w:val="0"/>
              <w:adjustRightInd/>
              <w:snapToGrid w:val="0"/>
              <w:spacing w:line="20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738" w:type="dxa"/>
            <w:gridSpan w:val="2"/>
            <w:vAlign w:val="bottom"/>
          </w:tcPr>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5"/>
              <w:jc w:val="left"/>
              <w:textAlignment w:val="auto"/>
              <w:outlineLvl w:val="9"/>
              <w:rPr>
                <w:u w:val="single"/>
              </w:rPr>
            </w:pPr>
          </w:p>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5"/>
              <w:jc w:val="left"/>
              <w:textAlignment w:val="auto"/>
              <w:outlineLvl w:val="9"/>
              <w:rPr>
                <w:u w:val="single"/>
              </w:rPr>
            </w:pPr>
          </w:p>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widowControl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20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ascii="宋体" w:hAnsi="宋体" w:cs="宋体"/>
                <w:sz w:val="18"/>
                <w:szCs w:val="18"/>
              </w:rPr>
              <w:t>06</w:t>
            </w:r>
          </w:p>
        </w:tc>
        <w:tc>
          <w:tcPr>
            <w:tcW w:w="8943" w:type="dxa"/>
            <w:gridSpan w:val="3"/>
            <w:tcMar>
              <w:top w:w="0" w:type="dxa"/>
              <w:bottom w:w="0" w:type="dxa"/>
            </w:tcMar>
            <w:vAlign w:val="bottom"/>
          </w:tcPr>
          <w:p>
            <w:pPr>
              <w:keepNext w:val="0"/>
              <w:keepLines w:val="0"/>
              <w:pageBreakBefore w:val="0"/>
              <w:kinsoku/>
              <w:wordWrap/>
              <w:overflowPunct/>
              <w:topLinePunct w:val="0"/>
              <w:autoSpaceDE/>
              <w:autoSpaceDN/>
              <w:bidi w:val="0"/>
              <w:snapToGrid w:val="0"/>
              <w:spacing w:line="24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4" w:leftChars="2" w:firstLine="180" w:firstLineChars="100"/>
              <w:jc w:val="left"/>
              <w:textAlignment w:val="auto"/>
              <w:outlineLvl w:val="9"/>
              <w:rPr>
                <w:rFonts w:ascii="宋体" w:hAnsi="宋体" w:cs="宋体"/>
                <w:sz w:val="18"/>
                <w:szCs w:val="18"/>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snapToGrid w:val="0"/>
              <w:spacing w:line="240" w:lineRule="exact"/>
              <w:ind w:left="5" w:firstLine="160" w:firstLineChars="100"/>
              <w:jc w:val="left"/>
              <w:textAlignment w:val="auto"/>
              <w:outlineLvl w:val="9"/>
              <w:rPr>
                <w:rFonts w:ascii="宋体" w:hAnsi="宋体" w:cs="宋体"/>
                <w:sz w:val="18"/>
                <w:szCs w:val="18"/>
              </w:rPr>
            </w:pPr>
            <w:r>
              <w:rPr>
                <w:rFonts w:hint="eastAsia" w:ascii="宋体" w:hAnsi="宋体" w:cs="宋体"/>
                <w:spacing w:val="-10"/>
                <w:sz w:val="18"/>
                <w:szCs w:val="18"/>
              </w:rPr>
              <w:t>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20" w:lineRule="exact"/>
              <w:jc w:val="center"/>
              <w:textAlignment w:val="auto"/>
              <w:outlineLvl w:val="9"/>
              <w:rPr>
                <w:rFonts w:ascii="宋体" w:hAnsi="宋体" w:cs="宋体"/>
                <w:sz w:val="18"/>
                <w:szCs w:val="18"/>
              </w:rPr>
            </w:pPr>
            <w:r>
              <w:rPr>
                <w:rFonts w:ascii="宋体" w:hAnsi="宋体" w:cs="宋体"/>
                <w:sz w:val="18"/>
                <w:szCs w:val="18"/>
              </w:rPr>
              <w:t>08</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2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20" w:lineRule="exact"/>
              <w:jc w:val="center"/>
              <w:textAlignment w:val="auto"/>
              <w:outlineLvl w:val="9"/>
              <w:rPr>
                <w:rFonts w:ascii="宋体" w:hAnsi="宋体" w:cs="宋体"/>
                <w:sz w:val="18"/>
                <w:szCs w:val="18"/>
              </w:rPr>
            </w:pPr>
            <w:r>
              <w:rPr>
                <w:rFonts w:ascii="宋体" w:hAnsi="宋体" w:cs="宋体"/>
                <w:sz w:val="18"/>
                <w:szCs w:val="18"/>
              </w:rPr>
              <w:t>11</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20" w:lineRule="exact"/>
              <w:ind w:firstLine="90" w:firstLineChars="50"/>
              <w:textAlignment w:val="auto"/>
              <w:outlineLvl w:val="9"/>
              <w:rPr>
                <w:rFonts w:ascii="宋体" w:hAnsi="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20" w:lineRule="exact"/>
              <w:jc w:val="center"/>
              <w:textAlignment w:val="auto"/>
              <w:outlineLvl w:val="9"/>
              <w:rPr>
                <w:rFonts w:ascii="宋体" w:hAnsi="宋体" w:cs="宋体"/>
                <w:sz w:val="18"/>
                <w:szCs w:val="18"/>
              </w:rPr>
            </w:pPr>
            <w:r>
              <w:rPr>
                <w:rFonts w:ascii="宋体" w:hAnsi="宋体" w:cs="宋体"/>
                <w:sz w:val="18"/>
                <w:szCs w:val="18"/>
              </w:rPr>
              <w:t>12</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20" w:lineRule="exact"/>
              <w:textAlignment w:val="auto"/>
              <w:outlineLvl w:val="9"/>
              <w:rPr>
                <w:rFonts w:ascii="宋体" w:hAnsi="宋体"/>
                <w:sz w:val="18"/>
                <w:szCs w:val="18"/>
              </w:rPr>
            </w:pPr>
            <w:r>
              <w:rPr>
                <w:rFonts w:hint="eastAsia" w:ascii="宋体" w:hAnsi="宋体"/>
                <w:sz w:val="18"/>
                <w:szCs w:val="18"/>
              </w:rPr>
              <w:t>运营状态□</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 正常运营 2 停业(歇业)</w:t>
            </w:r>
            <w:r>
              <w:rPr>
                <w:rFonts w:ascii="宋体" w:hAnsi="宋体"/>
                <w:sz w:val="18"/>
                <w:szCs w:val="18"/>
              </w:rPr>
              <w:t xml:space="preserve"> </w:t>
            </w:r>
            <w:r>
              <w:rPr>
                <w:rFonts w:hint="eastAsia" w:ascii="宋体" w:hAnsi="宋体"/>
                <w:sz w:val="18"/>
                <w:szCs w:val="18"/>
              </w:rPr>
              <w:t>3 筹建 4 当年关闭 5 当年破产 6当</w:t>
            </w:r>
            <w:r>
              <w:rPr>
                <w:rFonts w:ascii="宋体" w:hAnsi="宋体"/>
                <w:sz w:val="18"/>
                <w:szCs w:val="18"/>
              </w:rPr>
              <w:t>年注销</w:t>
            </w:r>
            <w:r>
              <w:rPr>
                <w:rFonts w:hint="eastAsia" w:ascii="宋体" w:hAnsi="宋体"/>
                <w:sz w:val="18"/>
                <w:szCs w:val="18"/>
              </w:rPr>
              <w:t>7当年</w:t>
            </w:r>
            <w:r>
              <w:rPr>
                <w:rFonts w:ascii="宋体" w:hAnsi="宋体"/>
                <w:sz w:val="18"/>
                <w:szCs w:val="18"/>
              </w:rPr>
              <w:t>吊销</w:t>
            </w:r>
            <w:r>
              <w:rPr>
                <w:rFonts w:hint="eastAsia" w:ascii="宋体" w:hAnsi="宋体"/>
                <w:sz w:val="18"/>
                <w:szCs w:val="18"/>
              </w:rPr>
              <w:t>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20" w:lineRule="exact"/>
              <w:jc w:val="center"/>
              <w:textAlignment w:val="auto"/>
              <w:outlineLvl w:val="9"/>
              <w:rPr>
                <w:rFonts w:ascii="宋体" w:hAnsi="宋体" w:cs="宋体"/>
                <w:sz w:val="18"/>
                <w:szCs w:val="18"/>
              </w:rPr>
            </w:pPr>
            <w:r>
              <w:rPr>
                <w:rFonts w:hint="eastAsia" w:ascii="宋体" w:hAnsi="宋体" w:cs="宋体"/>
                <w:sz w:val="18"/>
                <w:szCs w:val="18"/>
              </w:rPr>
              <w:t>14</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2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 xml:space="preserve">10 企业         20 事业单位     30 机关         </w:t>
            </w:r>
            <w:r>
              <w:rPr>
                <w:rFonts w:ascii="宋体" w:hAnsi="宋体"/>
                <w:sz w:val="18"/>
                <w:szCs w:val="18"/>
              </w:rPr>
              <w:t xml:space="preserve">  </w:t>
            </w:r>
            <w:r>
              <w:rPr>
                <w:rFonts w:hint="eastAsia" w:ascii="宋体" w:hAnsi="宋体"/>
                <w:sz w:val="18"/>
                <w:szCs w:val="18"/>
              </w:rPr>
              <w:t xml:space="preserve">40 社会团体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51 </w:t>
            </w:r>
            <w:r>
              <w:rPr>
                <w:rFonts w:hint="eastAsia" w:ascii="宋体" w:hAnsi="宋体"/>
                <w:sz w:val="18"/>
                <w:szCs w:val="18"/>
              </w:rPr>
              <w:t>民办非企业单位</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 xml:space="preserve">52 基金会 </w:t>
            </w:r>
            <w:r>
              <w:rPr>
                <w:rFonts w:ascii="宋体" w:hAnsi="宋体"/>
                <w:sz w:val="18"/>
                <w:szCs w:val="18"/>
              </w:rPr>
              <w:t xml:space="preserve">      </w:t>
            </w:r>
            <w:r>
              <w:rPr>
                <w:rFonts w:hint="eastAsia" w:ascii="宋体" w:hAnsi="宋体"/>
                <w:sz w:val="18"/>
                <w:szCs w:val="18"/>
              </w:rPr>
              <w:t xml:space="preserve">53 居委会       54 村委会         </w:t>
            </w:r>
            <w:r>
              <w:rPr>
                <w:rFonts w:ascii="宋体" w:hAnsi="宋体"/>
                <w:sz w:val="18"/>
                <w:szCs w:val="18"/>
              </w:rPr>
              <w:t xml:space="preserve">55 </w:t>
            </w:r>
            <w:r>
              <w:rPr>
                <w:rFonts w:hint="eastAsia" w:ascii="宋体" w:hAnsi="宋体"/>
                <w:sz w:val="18"/>
                <w:szCs w:val="18"/>
              </w:rPr>
              <w:t xml:space="preserve">农民专业合作社      </w:t>
            </w:r>
            <w:r>
              <w:rPr>
                <w:rFonts w:ascii="宋体" w:hAnsi="宋体"/>
                <w:sz w:val="18"/>
                <w:szCs w:val="18"/>
              </w:rPr>
              <w:t xml:space="preserve">56 </w:t>
            </w:r>
            <w:r>
              <w:rPr>
                <w:rFonts w:hint="eastAsia" w:ascii="宋体" w:hAnsi="宋体"/>
                <w:sz w:val="18"/>
                <w:szCs w:val="18"/>
              </w:rPr>
              <w:t xml:space="preserve">农村集体经济组织 </w:t>
            </w:r>
            <w:r>
              <w:rPr>
                <w:rFonts w:ascii="宋体" w:hAnsi="宋体"/>
                <w:sz w:val="18"/>
                <w:szCs w:val="18"/>
              </w:rPr>
              <w:t xml:space="preserve"> </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hint="eastAsia" w:ascii="宋体" w:hAnsi="宋体" w:cs="宋体"/>
                <w:sz w:val="18"/>
                <w:szCs w:val="18"/>
              </w:rPr>
              <w:t>17</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snapToGrid w:val="0"/>
              <w:spacing w:line="240" w:lineRule="exact"/>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hint="eastAsia" w:ascii="宋体" w:hAnsi="宋体" w:cs="宋体"/>
                <w:sz w:val="18"/>
                <w:szCs w:val="18"/>
              </w:rPr>
              <w:t>23</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snapToGrid w:val="0"/>
              <w:spacing w:line="240" w:lineRule="exact"/>
              <w:textAlignment w:val="auto"/>
              <w:outlineLvl w:val="9"/>
              <w:rPr>
                <w:rFonts w:ascii="宋体" w:hAnsi="宋体"/>
                <w:sz w:val="18"/>
                <w:szCs w:val="18"/>
              </w:rPr>
            </w:pPr>
            <w:r>
              <w:rPr>
                <w:rFonts w:hint="eastAsia" w:ascii="宋体" w:hAnsi="宋体"/>
                <w:sz w:val="18"/>
                <w:szCs w:val="18"/>
              </w:rPr>
              <w:t>经营性单位收入</w:t>
            </w:r>
            <w:r>
              <w:rPr>
                <w:rFonts w:hint="eastAsia" w:ascii="宋体" w:hAnsi="宋体"/>
                <w:sz w:val="18"/>
                <w:szCs w:val="18"/>
                <w:u w:val="single"/>
              </w:rPr>
              <w:t xml:space="preserve">                 </w:t>
            </w:r>
            <w:r>
              <w:rPr>
                <w:rFonts w:hint="eastAsia" w:ascii="宋体" w:hAnsi="宋体"/>
                <w:sz w:val="18"/>
                <w:szCs w:val="18"/>
              </w:rPr>
              <w:t>千元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ascii="宋体" w:hAnsi="宋体" w:cs="宋体"/>
                <w:sz w:val="18"/>
                <w:szCs w:val="18"/>
              </w:rPr>
              <w:t>2</w:t>
            </w:r>
            <w:r>
              <w:rPr>
                <w:rFonts w:hint="eastAsia" w:ascii="宋体" w:hAnsi="宋体" w:cs="宋体"/>
                <w:sz w:val="18"/>
                <w:szCs w:val="18"/>
              </w:rPr>
              <w:t>4</w:t>
            </w:r>
          </w:p>
        </w:tc>
        <w:tc>
          <w:tcPr>
            <w:tcW w:w="8943" w:type="dxa"/>
            <w:gridSpan w:val="3"/>
            <w:tcMar>
              <w:top w:w="0" w:type="dxa"/>
              <w:bottom w:w="0" w:type="dxa"/>
            </w:tcMar>
            <w:vAlign w:val="center"/>
          </w:tcPr>
          <w:p>
            <w:pPr>
              <w:keepNext w:val="0"/>
              <w:keepLines w:val="0"/>
              <w:pageBreakBefore w:val="0"/>
              <w:widowControl/>
              <w:kinsoku/>
              <w:wordWrap/>
              <w:overflowPunct/>
              <w:topLinePunct w:val="0"/>
              <w:autoSpaceDE/>
              <w:autoSpaceDN/>
              <w:bidi w:val="0"/>
              <w:snapToGrid w:val="0"/>
              <w:spacing w:line="240" w:lineRule="exact"/>
              <w:textAlignment w:val="auto"/>
              <w:outlineLvl w:val="9"/>
              <w:rPr>
                <w:rFonts w:ascii="宋体" w:hAnsi="宋体"/>
                <w:sz w:val="18"/>
                <w:szCs w:val="18"/>
              </w:rPr>
            </w:pPr>
            <w:r>
              <w:rPr>
                <w:rFonts w:hint="eastAsia" w:ascii="宋体" w:hAnsi="宋体"/>
                <w:sz w:val="18"/>
                <w:szCs w:val="18"/>
              </w:rPr>
              <w:t>非经营性单位支出（费用）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813" w:hRule="atLeast"/>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snapToGrid w:val="0"/>
              <w:spacing w:line="240" w:lineRule="exact"/>
              <w:jc w:val="center"/>
              <w:textAlignment w:val="auto"/>
              <w:outlineLvl w:val="9"/>
              <w:rPr>
                <w:rFonts w:ascii="宋体" w:hAnsi="宋体" w:cs="宋体"/>
                <w:sz w:val="18"/>
                <w:szCs w:val="18"/>
              </w:rPr>
            </w:pPr>
            <w:r>
              <w:rPr>
                <w:rFonts w:hint="eastAsia" w:ascii="宋体" w:hAnsi="宋体" w:cs="宋体"/>
                <w:sz w:val="18"/>
                <w:szCs w:val="18"/>
              </w:rPr>
              <w:t>32</w:t>
            </w:r>
          </w:p>
        </w:tc>
        <w:tc>
          <w:tcPr>
            <w:tcW w:w="8943" w:type="dxa"/>
            <w:gridSpan w:val="3"/>
            <w:tcMar>
              <w:top w:w="0" w:type="dxa"/>
              <w:bottom w:w="0" w:type="dxa"/>
            </w:tcMar>
            <w:vAlign w:val="center"/>
          </w:tcPr>
          <w:p>
            <w:pPr>
              <w:keepNext w:val="0"/>
              <w:keepLines w:val="0"/>
              <w:pageBreakBefore w:val="0"/>
              <w:widowControl/>
              <w:kinsoku/>
              <w:wordWrap/>
              <w:overflowPunct/>
              <w:topLinePunct w:val="0"/>
              <w:autoSpaceDE/>
              <w:autoSpaceDN/>
              <w:bidi w:val="0"/>
              <w:snapToGrid w:val="0"/>
              <w:spacing w:line="24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w:t>
            </w:r>
          </w:p>
          <w:p>
            <w:pPr>
              <w:keepNext w:val="0"/>
              <w:keepLines w:val="0"/>
              <w:pageBreakBefore w:val="0"/>
              <w:widowControl/>
              <w:kinsoku/>
              <w:wordWrap/>
              <w:overflowPunct/>
              <w:topLinePunct w:val="0"/>
              <w:autoSpaceDE/>
              <w:autoSpaceDN/>
              <w:bidi w:val="0"/>
              <w:snapToGrid w:val="0"/>
              <w:spacing w:line="24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w:t>
            </w:r>
            <w:r>
              <w:rPr>
                <w:rFonts w:ascii="宋体" w:hAnsi="宋体"/>
                <w:sz w:val="18"/>
                <w:szCs w:val="18"/>
              </w:rPr>
              <w:t xml:space="preserve">  </w:t>
            </w:r>
            <w:r>
              <w:rPr>
                <w:rFonts w:hint="eastAsia" w:ascii="宋体" w:hAnsi="宋体"/>
                <w:sz w:val="18"/>
                <w:szCs w:val="18"/>
              </w:rPr>
              <w:t xml:space="preserve"> 2 连锁总店(总部)   </w:t>
            </w:r>
            <w:r>
              <w:rPr>
                <w:rFonts w:ascii="宋体" w:hAnsi="宋体"/>
                <w:sz w:val="18"/>
                <w:szCs w:val="18"/>
              </w:rPr>
              <w:t xml:space="preserve">  </w:t>
            </w:r>
            <w:r>
              <w:rPr>
                <w:rFonts w:hint="eastAsia" w:ascii="宋体" w:hAnsi="宋体"/>
                <w:sz w:val="18"/>
                <w:szCs w:val="18"/>
              </w:rPr>
              <w:t xml:space="preserve"> 3 连锁直营店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4 </w:t>
            </w:r>
            <w:r>
              <w:rPr>
                <w:rFonts w:hint="eastAsia" w:ascii="宋体" w:hAnsi="宋体"/>
                <w:sz w:val="18"/>
                <w:szCs w:val="18"/>
              </w:rPr>
              <w:t xml:space="preserve">连锁加盟店 </w:t>
            </w:r>
            <w:r>
              <w:rPr>
                <w:rFonts w:ascii="宋体" w:hAnsi="宋体"/>
                <w:sz w:val="18"/>
                <w:szCs w:val="18"/>
              </w:rPr>
              <w:t xml:space="preserve">    </w:t>
            </w:r>
            <w:r>
              <w:rPr>
                <w:rFonts w:hint="eastAsia" w:ascii="宋体" w:hAnsi="宋体"/>
                <w:sz w:val="18"/>
                <w:szCs w:val="18"/>
              </w:rPr>
              <w:t>9 其他</w:t>
            </w:r>
          </w:p>
          <w:p>
            <w:pPr>
              <w:keepNext w:val="0"/>
              <w:keepLines w:val="0"/>
              <w:pageBreakBefore w:val="0"/>
              <w:widowControl/>
              <w:kinsoku/>
              <w:wordWrap/>
              <w:overflowPunct/>
              <w:topLinePunct w:val="0"/>
              <w:autoSpaceDE/>
              <w:autoSpaceDN/>
              <w:bidi w:val="0"/>
              <w:snapToGrid w:val="0"/>
              <w:spacing w:line="240" w:lineRule="exact"/>
              <w:ind w:firstLine="90" w:firstLineChars="50"/>
              <w:textAlignment w:val="auto"/>
              <w:outlineLvl w:val="9"/>
              <w:rPr>
                <w:rFonts w:hint="eastAsia" w:ascii="宋体" w:hAnsi="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20" w:lineRule="exact"/>
              <w:jc w:val="center"/>
              <w:textAlignment w:val="auto"/>
              <w:outlineLvl w:val="9"/>
              <w:rPr>
                <w:rFonts w:ascii="宋体" w:hAnsi="宋体" w:cs="宋体"/>
                <w:sz w:val="18"/>
                <w:szCs w:val="18"/>
              </w:rPr>
            </w:pPr>
            <w:r>
              <w:rPr>
                <w:rFonts w:hint="eastAsia" w:ascii="宋体" w:hAnsi="宋体" w:cs="宋体"/>
                <w:sz w:val="18"/>
                <w:szCs w:val="18"/>
              </w:rPr>
              <w:t>29</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2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kinsoku/>
              <w:wordWrap/>
              <w:overflowPunct/>
              <w:topLinePunct w:val="0"/>
              <w:autoSpaceDE/>
              <w:autoSpaceDN/>
              <w:bidi w:val="0"/>
              <w:adjustRightInd/>
              <w:snapToGrid w:val="0"/>
              <w:spacing w:line="22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kinsoku/>
              <w:wordWrap/>
              <w:overflowPunct/>
              <w:topLinePunct w:val="0"/>
              <w:autoSpaceDE/>
              <w:autoSpaceDN/>
              <w:bidi w:val="0"/>
              <w:adjustRightInd/>
              <w:snapToGrid w:val="0"/>
              <w:spacing w:line="22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kinsoku/>
              <w:wordWrap/>
              <w:overflowPunct/>
              <w:topLinePunct w:val="0"/>
              <w:autoSpaceDE/>
              <w:autoSpaceDN/>
              <w:bidi w:val="0"/>
              <w:adjustRightInd/>
              <w:snapToGrid w:val="0"/>
              <w:spacing w:line="220" w:lineRule="exact"/>
              <w:ind w:firstLine="180" w:firstLineChars="100"/>
              <w:textAlignment w:val="auto"/>
              <w:outlineLvl w:val="9"/>
              <w:rPr>
                <w:rFonts w:ascii="宋体" w:hAnsi="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outlineLvl w:val="9"/>
              <w:rPr>
                <w:rFonts w:ascii="宋体" w:hAnsi="宋体" w:cs="宋体"/>
                <w:sz w:val="18"/>
                <w:szCs w:val="18"/>
              </w:rPr>
            </w:pPr>
            <w:r>
              <w:rPr>
                <w:rFonts w:hint="eastAsia" w:ascii="宋体" w:hAnsi="宋体" w:cs="宋体"/>
                <w:sz w:val="18"/>
                <w:szCs w:val="18"/>
              </w:rPr>
              <w:t>22</w:t>
            </w:r>
          </w:p>
        </w:tc>
        <w:tc>
          <w:tcPr>
            <w:tcW w:w="8943" w:type="dxa"/>
            <w:gridSpan w:val="3"/>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1320" w:hRule="atLeast"/>
          <w:jc w:val="center"/>
        </w:trPr>
        <w:tc>
          <w:tcPr>
            <w:tcW w:w="480"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exact"/>
              <w:jc w:val="center"/>
              <w:textAlignment w:val="auto"/>
              <w:outlineLvl w:val="9"/>
              <w:rPr>
                <w:rFonts w:ascii="宋体" w:hAnsi="宋体" w:cs="宋体"/>
                <w:sz w:val="18"/>
                <w:szCs w:val="18"/>
              </w:rPr>
            </w:pPr>
            <w:r>
              <w:rPr>
                <w:rFonts w:hint="eastAsia" w:ascii="宋体" w:hAnsi="宋体" w:cs="宋体"/>
                <w:sz w:val="18"/>
                <w:szCs w:val="18"/>
              </w:rPr>
              <w:t>25</w:t>
            </w:r>
          </w:p>
        </w:tc>
        <w:tc>
          <w:tcPr>
            <w:tcW w:w="8943" w:type="dxa"/>
            <w:gridSpan w:val="3"/>
            <w:tcMar>
              <w:top w:w="0" w:type="dxa"/>
              <w:bottom w:w="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宋体" w:hAnsi="宋体"/>
                <w:sz w:val="18"/>
                <w:szCs w:val="18"/>
              </w:rPr>
            </w:pPr>
            <w:r>
              <w:rPr>
                <w:rFonts w:hint="eastAsia" w:ascii="宋体" w:hAnsi="宋体"/>
                <w:sz w:val="18"/>
                <w:szCs w:val="18"/>
              </w:rPr>
              <w:t>归属法人单位情况</w:t>
            </w:r>
          </w:p>
          <w:p>
            <w:pPr>
              <w:keepNext w:val="0"/>
              <w:keepLines w:val="0"/>
              <w:pageBreakBefore w:val="0"/>
              <w:kinsoku/>
              <w:wordWrap/>
              <w:overflowPunct/>
              <w:topLinePunct w:val="0"/>
              <w:autoSpaceDE/>
              <w:autoSpaceDN/>
              <w:bidi w:val="0"/>
              <w:adjustRightInd/>
              <w:spacing w:line="240" w:lineRule="exact"/>
              <w:ind w:right="57" w:rightChars="27" w:firstLine="180" w:firstLineChars="100"/>
              <w:textAlignment w:val="auto"/>
              <w:outlineLvl w:val="9"/>
              <w:rPr>
                <w:rFonts w:ascii="宋体" w:hAnsi="宋体" w:cs="宋体"/>
                <w:sz w:val="18"/>
                <w:szCs w:val="18"/>
              </w:rPr>
            </w:pPr>
            <w:r>
              <w:rPr>
                <w:rFonts w:hint="eastAsia" w:ascii="宋体" w:hAnsi="宋体"/>
                <w:sz w:val="18"/>
                <w:szCs w:val="18"/>
              </w:rPr>
              <w:t>法人</w:t>
            </w:r>
            <w:r>
              <w:rPr>
                <w:rFonts w:ascii="宋体" w:hAnsi="宋体"/>
                <w:sz w:val="18"/>
                <w:szCs w:val="18"/>
              </w:rPr>
              <w:t>单位统一社会信用代码</w:t>
            </w: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pacing w:line="240" w:lineRule="exact"/>
              <w:ind w:right="57" w:rightChars="27" w:firstLine="180" w:firstLineChars="100"/>
              <w:textAlignment w:val="auto"/>
              <w:outlineLvl w:val="9"/>
              <w:rPr>
                <w:rFonts w:hint="eastAsia" w:ascii="宋体" w:hAnsi="宋体"/>
                <w:sz w:val="18"/>
                <w:szCs w:val="18"/>
              </w:rPr>
            </w:pPr>
            <w:r>
              <w:rPr>
                <w:rFonts w:hint="eastAsia" w:ascii="楷体_GB2312" w:hAnsi="宋体" w:eastAsia="楷体_GB2312" w:cs="宋体"/>
                <w:sz w:val="18"/>
                <w:szCs w:val="18"/>
              </w:rPr>
              <w:t>尚未领取统一社会信用代码的填写原组织机构代码</w:t>
            </w: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pacing w:line="240" w:lineRule="exact"/>
              <w:ind w:right="57" w:rightChars="27" w:firstLine="180" w:firstLineChars="100"/>
              <w:textAlignment w:val="auto"/>
              <w:outlineLvl w:val="9"/>
              <w:rPr>
                <w:rFonts w:ascii="宋体" w:hAnsi="宋体"/>
                <w:sz w:val="18"/>
                <w:szCs w:val="18"/>
              </w:rPr>
            </w:pPr>
            <w:r>
              <w:rPr>
                <w:rFonts w:hint="eastAsia" w:ascii="宋体" w:hAnsi="宋体"/>
                <w:sz w:val="18"/>
                <w:szCs w:val="18"/>
              </w:rPr>
              <w:t>法人单位详细名称</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p>
          <w:p>
            <w:pPr>
              <w:keepNext w:val="0"/>
              <w:keepLines w:val="0"/>
              <w:pageBreakBefore w:val="0"/>
              <w:widowControl/>
              <w:kinsoku/>
              <w:wordWrap/>
              <w:overflowPunct/>
              <w:topLinePunct w:val="0"/>
              <w:autoSpaceDE/>
              <w:autoSpaceDN/>
              <w:bidi w:val="0"/>
              <w:adjustRightInd/>
              <w:snapToGrid w:val="0"/>
              <w:spacing w:line="240" w:lineRule="exact"/>
              <w:ind w:firstLine="180" w:firstLineChars="100"/>
              <w:textAlignment w:val="auto"/>
              <w:outlineLvl w:val="9"/>
              <w:rPr>
                <w:rFonts w:ascii="宋体" w:hAnsi="宋体"/>
                <w:sz w:val="18"/>
                <w:szCs w:val="18"/>
              </w:rPr>
            </w:pPr>
            <w:r>
              <w:rPr>
                <w:rFonts w:hint="eastAsia" w:ascii="宋体" w:hAnsi="宋体"/>
                <w:sz w:val="18"/>
                <w:szCs w:val="18"/>
              </w:rPr>
              <w:t>法人单位详细地址</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 xml:space="preserve">       法人单位区划代码（统计机构填写）□□□□□□</w:t>
            </w:r>
          </w:p>
        </w:tc>
      </w:tr>
    </w:tbl>
    <w:p>
      <w:pPr>
        <w:spacing w:before="62" w:beforeLines="20"/>
        <w:ind w:left="-619" w:leftChars="-295" w:right="-477" w:rightChars="-227" w:firstLine="0" w:firstLineChars="0"/>
        <w:rPr>
          <w:rFonts w:ascii="宋体"/>
          <w:sz w:val="18"/>
          <w:szCs w:val="18"/>
        </w:rPr>
      </w:pPr>
      <w:r>
        <w:rPr>
          <w:rFonts w:hint="eastAsia" w:ascii="宋体" w:hAnsi="宋体"/>
          <w:sz w:val="18"/>
          <w:szCs w:val="18"/>
        </w:rPr>
        <w:t>单位负责人：             统计负责人：              填表人：           填表人移动电话号码：</w:t>
      </w:r>
    </w:p>
    <w:p>
      <w:pPr>
        <w:spacing w:line="260" w:lineRule="exact"/>
        <w:ind w:leftChars="-270" w:right="-477" w:rightChars="-227" w:hanging="567" w:hangingChars="315"/>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napToGrid w:val="0"/>
        <w:ind w:leftChars="-270" w:right="-477" w:rightChars="-227" w:hanging="567" w:hangingChars="315"/>
        <w:jc w:val="right"/>
        <w:rPr>
          <w:rFonts w:ascii="宋体"/>
          <w:sz w:val="18"/>
          <w:szCs w:val="18"/>
        </w:rPr>
      </w:pPr>
      <w:r>
        <w:rPr>
          <w:rFonts w:hint="eastAsia" w:ascii="宋体" w:hAnsi="宋体"/>
          <w:sz w:val="18"/>
          <w:szCs w:val="18"/>
        </w:rPr>
        <w:t>（产业活动单位在此盖章）</w:t>
      </w:r>
    </w:p>
    <w:p>
      <w:pPr>
        <w:snapToGrid w:val="0"/>
        <w:ind w:leftChars="-270" w:hanging="567" w:hangingChars="315"/>
        <w:rPr>
          <w:rFonts w:ascii="宋体"/>
          <w:sz w:val="18"/>
          <w:szCs w:val="18"/>
        </w:rPr>
      </w:pPr>
      <w:r>
        <w:rPr>
          <w:rFonts w:hint="eastAsia" w:ascii="宋体" w:hAnsi="宋体" w:cs="宋体"/>
          <w:sz w:val="18"/>
          <w:szCs w:val="18"/>
        </w:rPr>
        <w:t>说明：新增单位填报时，表中经营性单位收入和非经营性单位支出（费用）填全年预计数。</w:t>
      </w:r>
    </w:p>
    <w:p>
      <w:pPr>
        <w:spacing w:line="290" w:lineRule="exact"/>
        <w:ind w:left="-567" w:leftChars="-270" w:right="-617" w:rightChars="-294"/>
        <w:rPr>
          <w:rFonts w:hint="eastAsia" w:ascii="黑体" w:hAnsi="宋体" w:eastAsia="黑体"/>
          <w:b/>
          <w:sz w:val="24"/>
          <w:szCs w:val="24"/>
        </w:rPr>
      </w:pPr>
    </w:p>
    <w:p>
      <w:pPr>
        <w:spacing w:line="290" w:lineRule="exact"/>
        <w:ind w:left="-567" w:leftChars="-270" w:right="-617" w:rightChars="-294"/>
        <w:rPr>
          <w:rFonts w:ascii="黑体" w:hAnsi="宋体" w:eastAsia="黑体"/>
          <w:b/>
          <w:sz w:val="24"/>
          <w:szCs w:val="24"/>
        </w:rPr>
      </w:pPr>
      <w:r>
        <w:rPr>
          <w:rFonts w:hint="eastAsia" w:ascii="黑体" w:hAnsi="宋体" w:eastAsia="黑体"/>
          <w:b/>
          <w:sz w:val="24"/>
          <w:szCs w:val="24"/>
        </w:rPr>
        <w:t>指标解释及填表说明：</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bookmarkStart w:id="0" w:name="_GoBack"/>
      <w:r>
        <w:rPr>
          <w:b/>
          <w:sz w:val="18"/>
          <w:szCs w:val="18"/>
          <w:highlight w:val="none"/>
        </w:rPr>
        <w:t xml:space="preserve">00 </w:t>
      </w:r>
      <w:r>
        <w:rPr>
          <w:rFonts w:hint="eastAsia"/>
          <w:b/>
          <w:sz w:val="18"/>
          <w:szCs w:val="18"/>
          <w:highlight w:val="none"/>
        </w:rPr>
        <w:t>单位类别：</w:t>
      </w:r>
      <w:r>
        <w:rPr>
          <w:rFonts w:hint="eastAsia"/>
          <w:sz w:val="18"/>
          <w:szCs w:val="18"/>
          <w:highlight w:val="none"/>
        </w:rPr>
        <w:t>产业活动单位分为法人单位本部和分支机构。</w:t>
      </w:r>
      <w:r>
        <w:rPr>
          <w:rFonts w:hint="eastAsia"/>
          <w:sz w:val="18"/>
          <w:szCs w:val="18"/>
          <w:highlight w:val="none"/>
          <w:u w:val="single"/>
        </w:rPr>
        <w:t>所有产业活动单位均填写本项。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sz w:val="18"/>
          <w:szCs w:val="18"/>
          <w:highlight w:val="none"/>
        </w:rPr>
      </w:pPr>
      <w:r>
        <w:rPr>
          <w:rFonts w:hint="eastAsia"/>
          <w:sz w:val="18"/>
          <w:szCs w:val="18"/>
          <w:highlight w:val="none"/>
        </w:rPr>
        <w:t>（</w:t>
      </w:r>
      <w:r>
        <w:rPr>
          <w:sz w:val="18"/>
          <w:szCs w:val="18"/>
          <w:highlight w:val="none"/>
        </w:rPr>
        <w:t>1</w:t>
      </w:r>
      <w:r>
        <w:rPr>
          <w:rFonts w:hint="eastAsia"/>
          <w:sz w:val="18"/>
          <w:szCs w:val="18"/>
          <w:highlight w:val="none"/>
        </w:rPr>
        <w:t>）法人单位本部（总部、本店、本所等）：指法人单位中起领导和核心作用的产业活动单位。</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sz w:val="18"/>
          <w:szCs w:val="18"/>
          <w:highlight w:val="none"/>
        </w:rPr>
      </w:pPr>
      <w:r>
        <w:rPr>
          <w:rFonts w:hint="eastAsia"/>
          <w:sz w:val="18"/>
          <w:szCs w:val="18"/>
          <w:highlight w:val="none"/>
        </w:rPr>
        <w:t>（</w:t>
      </w:r>
      <w:r>
        <w:rPr>
          <w:sz w:val="18"/>
          <w:szCs w:val="18"/>
          <w:highlight w:val="none"/>
        </w:rPr>
        <w:t>2</w:t>
      </w:r>
      <w:r>
        <w:rPr>
          <w:rFonts w:hint="eastAsia"/>
          <w:sz w:val="18"/>
          <w:szCs w:val="18"/>
          <w:highlight w:val="none"/>
        </w:rPr>
        <w:t>）法人单位分支机构（分部、分厂、分店、支所等）：指法人单位中符合产业活动单位条件的除本部以外的其他产业活动单位。</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rFonts w:hint="eastAsia"/>
          <w:sz w:val="18"/>
          <w:szCs w:val="18"/>
          <w:highlight w:val="none"/>
        </w:rPr>
      </w:pPr>
      <w:r>
        <w:rPr>
          <w:b/>
          <w:sz w:val="18"/>
          <w:szCs w:val="18"/>
          <w:highlight w:val="none"/>
        </w:rPr>
        <w:t>01</w:t>
      </w:r>
      <w:r>
        <w:rPr>
          <w:rFonts w:hint="eastAsia"/>
          <w:b/>
          <w:sz w:val="18"/>
          <w:szCs w:val="18"/>
          <w:highlight w:val="none"/>
        </w:rPr>
        <w:t xml:space="preserve"> </w:t>
      </w:r>
      <w:r>
        <w:rPr>
          <w:rFonts w:hint="eastAsia" w:ascii="宋体" w:hAnsi="宋体"/>
          <w:b/>
          <w:sz w:val="18"/>
          <w:szCs w:val="18"/>
          <w:highlight w:val="none"/>
        </w:rPr>
        <w:t>统一社会信用代码：</w:t>
      </w:r>
      <w:r>
        <w:rPr>
          <w:rFonts w:hint="eastAsia" w:ascii="宋体" w:hAnsi="宋体"/>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单位必须填写统一社会信用代码。在填写时，要按照《营业执照》（证书）上的统一社会信用代码填写。</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sz w:val="18"/>
          <w:szCs w:val="18"/>
          <w:highlight w:val="none"/>
        </w:rPr>
      </w:pPr>
      <w:r>
        <w:rPr>
          <w:rFonts w:hint="eastAsia" w:ascii="宋体" w:hAnsi="宋体"/>
          <w:sz w:val="18"/>
          <w:szCs w:val="18"/>
          <w:highlight w:val="none"/>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r>
        <w:rPr>
          <w:b/>
          <w:sz w:val="18"/>
          <w:szCs w:val="18"/>
          <w:highlight w:val="none"/>
        </w:rPr>
        <w:t>02</w:t>
      </w:r>
      <w:r>
        <w:rPr>
          <w:rFonts w:hint="eastAsia"/>
          <w:b/>
          <w:sz w:val="18"/>
          <w:szCs w:val="18"/>
          <w:highlight w:val="none"/>
        </w:rPr>
        <w:t xml:space="preserve"> 单位详细名称：</w:t>
      </w:r>
      <w:r>
        <w:rPr>
          <w:rFonts w:hint="eastAsia"/>
          <w:sz w:val="18"/>
          <w:szCs w:val="18"/>
          <w:highlight w:val="none"/>
        </w:rPr>
        <w:t>企业的详细名称按市场监管部门登记的名称填写；机关、事业单位的详细名称按编制部门登记、批准的名称填写；社会团体、民办非企业单位和基层群众自治组织的详细名称按民政部门登记、批准的名称填写。填写时要求使用规范汉字填写，并与单位公章所使用的名称完全一致。凡经登记主管机关核准或批准，具有两个或两个以上名称的单位，要求填写一个法人单位名称，同时用括号注明其余的单位名称。</w:t>
      </w:r>
      <w:r>
        <w:rPr>
          <w:rFonts w:hint="eastAsia"/>
          <w:sz w:val="18"/>
          <w:szCs w:val="18"/>
          <w:highlight w:val="none"/>
          <w:u w:val="single"/>
        </w:rPr>
        <w:t>所有单位填写本项。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03</w:t>
      </w:r>
      <w:r>
        <w:rPr>
          <w:rFonts w:hint="eastAsia"/>
          <w:b/>
          <w:sz w:val="18"/>
          <w:szCs w:val="18"/>
          <w:highlight w:val="none"/>
        </w:rPr>
        <w:t xml:space="preserve"> 单位负责人：</w:t>
      </w:r>
      <w:r>
        <w:rPr>
          <w:rFonts w:hint="eastAsia"/>
          <w:sz w:val="18"/>
          <w:szCs w:val="18"/>
          <w:highlight w:val="none"/>
        </w:rPr>
        <w:t>产业活动单位填写本单位的主要负责人。</w:t>
      </w:r>
      <w:r>
        <w:rPr>
          <w:rFonts w:hint="eastAsia"/>
          <w:sz w:val="18"/>
          <w:szCs w:val="18"/>
          <w:highlight w:val="none"/>
          <w:u w:val="single"/>
        </w:rPr>
        <w:t>所有单位填写本项。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r>
        <w:rPr>
          <w:b/>
          <w:sz w:val="18"/>
          <w:szCs w:val="18"/>
          <w:highlight w:val="none"/>
        </w:rPr>
        <w:t>04</w:t>
      </w:r>
      <w:r>
        <w:rPr>
          <w:rFonts w:hint="eastAsia"/>
          <w:b/>
          <w:sz w:val="18"/>
          <w:szCs w:val="18"/>
          <w:highlight w:val="none"/>
        </w:rPr>
        <w:t xml:space="preserve"> 单位所在地及区划：</w:t>
      </w:r>
      <w:r>
        <w:rPr>
          <w:rFonts w:hint="eastAsia"/>
          <w:sz w:val="18"/>
          <w:szCs w:val="18"/>
          <w:highlight w:val="none"/>
        </w:rPr>
        <w:t>指单位实际所处的详细地址及行政区划代码等。本栏分三部分填写： 第一部分：区划代码，由所在地统计机构统一填写，</w:t>
      </w:r>
      <w:r>
        <w:rPr>
          <w:rFonts w:hint="eastAsia"/>
          <w:sz w:val="18"/>
          <w:szCs w:val="18"/>
          <w:highlight w:val="none"/>
          <w:u w:val="single"/>
        </w:rPr>
        <w:t>填表单位免填。</w:t>
      </w: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sz w:val="18"/>
          <w:szCs w:val="18"/>
          <w:highlight w:val="none"/>
        </w:rPr>
        <w:t>第三部分：单位主要经营地位于的街道办事处、社区（居委会）。</w:t>
      </w:r>
      <w:r>
        <w:rPr>
          <w:rFonts w:hint="eastAsia"/>
          <w:sz w:val="18"/>
          <w:szCs w:val="18"/>
          <w:highlight w:val="none"/>
          <w:u w:val="single"/>
        </w:rPr>
        <w:t>单位主要经营地位于街道办事处、社区（居委会）的，填写本项</w:t>
      </w:r>
      <w:r>
        <w:rPr>
          <w:rFonts w:hint="eastAsia"/>
          <w:sz w:val="18"/>
          <w:szCs w:val="18"/>
          <w:highlight w:val="none"/>
        </w:rPr>
        <w:t>。</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05</w:t>
      </w:r>
      <w:r>
        <w:rPr>
          <w:rFonts w:hint="eastAsia"/>
          <w:b/>
          <w:sz w:val="18"/>
          <w:szCs w:val="18"/>
          <w:highlight w:val="none"/>
        </w:rPr>
        <w:t xml:space="preserve"> 联系方式：</w:t>
      </w:r>
      <w:r>
        <w:rPr>
          <w:rFonts w:hint="eastAsia"/>
          <w:sz w:val="18"/>
          <w:szCs w:val="18"/>
          <w:highlight w:val="none"/>
        </w:rPr>
        <w:t>包括固定电话、移动电话、传真电话、邮政编码、电子信箱和网址等能够与单位取得联系的信息。</w:t>
      </w:r>
      <w:r>
        <w:rPr>
          <w:rFonts w:hint="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0</w:t>
      </w:r>
      <w:r>
        <w:rPr>
          <w:rFonts w:hint="eastAsia"/>
          <w:b/>
          <w:sz w:val="18"/>
          <w:szCs w:val="18"/>
          <w:highlight w:val="none"/>
        </w:rPr>
        <w:t>6 行业类别：</w:t>
      </w:r>
      <w:r>
        <w:rPr>
          <w:rFonts w:hint="eastAsia"/>
          <w:sz w:val="18"/>
          <w:szCs w:val="18"/>
          <w:highlight w:val="none"/>
        </w:rPr>
        <w:t>根据其从事的社会经济活动性质对各类单位进行的分类。第一部分：主要业务活动，</w:t>
      </w:r>
      <w:r>
        <w:rPr>
          <w:rFonts w:hint="eastAsia"/>
          <w:sz w:val="18"/>
          <w:szCs w:val="18"/>
          <w:highlight w:val="none"/>
          <w:u w:val="single"/>
        </w:rPr>
        <w:t>所有单位均填写本项。</w:t>
      </w:r>
      <w:r>
        <w:rPr>
          <w:rFonts w:hint="eastAsia"/>
          <w:sz w:val="18"/>
          <w:szCs w:val="18"/>
          <w:highlight w:val="none"/>
        </w:rPr>
        <w:t>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第二部分：行业代码，</w:t>
      </w:r>
      <w:r>
        <w:rPr>
          <w:rFonts w:hint="eastAsia"/>
          <w:sz w:val="18"/>
          <w:szCs w:val="18"/>
          <w:highlight w:val="none"/>
          <w:u w:val="single"/>
        </w:rPr>
        <w:t>填报单位免填。由所在地统计机构填写。</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r>
        <w:rPr>
          <w:b/>
          <w:sz w:val="18"/>
          <w:szCs w:val="18"/>
          <w:highlight w:val="none"/>
        </w:rPr>
        <w:t>08</w:t>
      </w:r>
      <w:r>
        <w:rPr>
          <w:rFonts w:hint="eastAsia"/>
          <w:b/>
          <w:sz w:val="18"/>
          <w:szCs w:val="18"/>
          <w:highlight w:val="none"/>
        </w:rPr>
        <w:t xml:space="preserve"> 登记注册类型：</w:t>
      </w:r>
      <w:r>
        <w:rPr>
          <w:rFonts w:hint="eastAsia"/>
          <w:sz w:val="18"/>
          <w:szCs w:val="18"/>
          <w:highlight w:val="none"/>
        </w:rPr>
        <w:t>指</w:t>
      </w:r>
      <w:r>
        <w:rPr>
          <w:rFonts w:hint="eastAsia"/>
          <w:sz w:val="18"/>
          <w:szCs w:val="18"/>
          <w:highlight w:val="none"/>
          <w:lang w:eastAsia="zh-CN"/>
        </w:rPr>
        <w:t>企业</w:t>
      </w:r>
      <w:r>
        <w:rPr>
          <w:rFonts w:hint="eastAsia"/>
          <w:sz w:val="18"/>
          <w:szCs w:val="18"/>
          <w:highlight w:val="none"/>
        </w:rPr>
        <w:t>产业活动单位的登记注册类型，依据在市场监管部门登记注册的类型填写。</w:t>
      </w:r>
      <w:r>
        <w:rPr>
          <w:rFonts w:hint="eastAsia"/>
          <w:sz w:val="18"/>
          <w:szCs w:val="18"/>
          <w:highlight w:val="none"/>
          <w:u w:val="single"/>
        </w:rPr>
        <w:t>所有单位均填报本项。</w:t>
      </w:r>
      <w:r>
        <w:rPr>
          <w:rFonts w:hint="eastAsia"/>
          <w:sz w:val="18"/>
          <w:szCs w:val="18"/>
          <w:highlight w:val="none"/>
        </w:rPr>
        <w:t>机关、事业单位和社会团体及其他组织的登记注册类型，依据主要经费来源和管理方式，根据实际情况，比照《关于划分企业登记注册类型的规定》确定。</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11</w:t>
      </w:r>
      <w:r>
        <w:rPr>
          <w:rFonts w:hint="eastAsia"/>
          <w:b/>
          <w:sz w:val="18"/>
          <w:szCs w:val="18"/>
          <w:highlight w:val="none"/>
        </w:rPr>
        <w:t xml:space="preserve"> 成立时间：</w:t>
      </w:r>
      <w:r>
        <w:rPr>
          <w:rFonts w:hint="eastAsia"/>
          <w:sz w:val="18"/>
          <w:szCs w:val="18"/>
          <w:highlight w:val="none"/>
        </w:rPr>
        <w:t>指单位登记注册成立或行政管理部门批准成立的具体年月。</w:t>
      </w:r>
      <w:r>
        <w:rPr>
          <w:rFonts w:hint="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r>
        <w:rPr>
          <w:b/>
          <w:sz w:val="18"/>
          <w:szCs w:val="18"/>
          <w:highlight w:val="none"/>
        </w:rPr>
        <w:t>12</w:t>
      </w:r>
      <w:r>
        <w:rPr>
          <w:rFonts w:hint="eastAsia" w:asciiTheme="majorEastAsia" w:hAnsiTheme="majorEastAsia" w:eastAsiaTheme="majorEastAsia"/>
          <w:b/>
          <w:sz w:val="18"/>
          <w:szCs w:val="18"/>
          <w:highlight w:val="none"/>
        </w:rPr>
        <w:t>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14</w:t>
      </w:r>
      <w:r>
        <w:rPr>
          <w:rFonts w:hint="eastAsia"/>
          <w:b/>
          <w:sz w:val="18"/>
          <w:szCs w:val="18"/>
          <w:highlight w:val="none"/>
        </w:rPr>
        <w:t xml:space="preserve"> 机构类型：</w:t>
      </w:r>
      <w:r>
        <w:rPr>
          <w:rFonts w:hint="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17</w:t>
      </w:r>
      <w:r>
        <w:rPr>
          <w:rFonts w:hint="eastAsia"/>
          <w:b/>
          <w:sz w:val="18"/>
          <w:szCs w:val="18"/>
          <w:highlight w:val="none"/>
        </w:rPr>
        <w:t xml:space="preserve"> 从业人员期末人数：</w:t>
      </w:r>
      <w:r>
        <w:rPr>
          <w:rFonts w:hint="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sz w:val="18"/>
          <w:szCs w:val="18"/>
          <w:highlight w:val="none"/>
          <w:u w:val="single"/>
        </w:rPr>
        <w:t>所有单位均填写本项。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r>
        <w:rPr>
          <w:b/>
          <w:sz w:val="18"/>
          <w:szCs w:val="18"/>
          <w:highlight w:val="none"/>
        </w:rPr>
        <w:t>23</w:t>
      </w:r>
      <w:r>
        <w:rPr>
          <w:rFonts w:hint="eastAsia"/>
          <w:b/>
          <w:sz w:val="18"/>
          <w:szCs w:val="18"/>
          <w:highlight w:val="none"/>
        </w:rPr>
        <w:t xml:space="preserve"> 经营性单位收入：</w:t>
      </w:r>
      <w:r>
        <w:rPr>
          <w:rFonts w:hint="eastAsia"/>
          <w:sz w:val="18"/>
          <w:szCs w:val="18"/>
          <w:highlight w:val="none"/>
        </w:rPr>
        <w:t>指经营性产业活动单位在全年生产经营活动中取得的收入。</w:t>
      </w:r>
      <w:r>
        <w:rPr>
          <w:rFonts w:hint="eastAsia"/>
          <w:sz w:val="18"/>
          <w:szCs w:val="18"/>
          <w:highlight w:val="none"/>
          <w:u w:val="single"/>
        </w:rPr>
        <w:t>限经营性产业活动单位填写本项。</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none"/>
        </w:rPr>
      </w:pPr>
      <w:r>
        <w:rPr>
          <w:b/>
          <w:sz w:val="18"/>
          <w:szCs w:val="18"/>
          <w:highlight w:val="none"/>
        </w:rPr>
        <w:t>24</w:t>
      </w:r>
      <w:r>
        <w:rPr>
          <w:rFonts w:hint="eastAsia"/>
          <w:b/>
          <w:sz w:val="18"/>
          <w:szCs w:val="18"/>
          <w:highlight w:val="none"/>
        </w:rPr>
        <w:t xml:space="preserve"> 非经营性单位支出（费用）：</w:t>
      </w:r>
      <w:r>
        <w:rPr>
          <w:rFonts w:hint="eastAsia"/>
          <w:sz w:val="18"/>
          <w:szCs w:val="18"/>
          <w:highlight w:val="none"/>
          <w:u w:val="single"/>
        </w:rPr>
        <w:t>限事业、机关、居村委会等非经营性产业活动单位填写本项。</w:t>
      </w:r>
      <w:r>
        <w:rPr>
          <w:rFonts w:hint="eastAsia"/>
          <w:sz w:val="18"/>
          <w:szCs w:val="18"/>
          <w:highlight w:val="none"/>
          <w:u w:val="none"/>
        </w:rPr>
        <w:t>其中具有行政事业性质的产业活动单位填报日常业务支出，包括除固定资产购置以外的所有经常性业务支出；其他产业活动单位填报各种费用合计，包括业务活动成本、管理费用、筹资费用和其他费用</w:t>
      </w:r>
      <w:r>
        <w:rPr>
          <w:rFonts w:hint="eastAsia"/>
          <w:sz w:val="18"/>
          <w:szCs w:val="18"/>
          <w:highlight w:val="none"/>
          <w:u w:val="none"/>
        </w:rPr>
        <w:t>。</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rFonts w:hint="eastAsia"/>
          <w:sz w:val="18"/>
          <w:szCs w:val="18"/>
          <w:highlight w:val="none"/>
          <w:u w:val="none"/>
        </w:rPr>
      </w:pPr>
      <w:r>
        <w:rPr>
          <w:b/>
          <w:sz w:val="18"/>
          <w:szCs w:val="18"/>
          <w:highlight w:val="none"/>
        </w:rPr>
        <w:t>32</w:t>
      </w:r>
      <w:r>
        <w:rPr>
          <w:rFonts w:hint="eastAsia"/>
          <w:b/>
          <w:sz w:val="18"/>
          <w:szCs w:val="18"/>
          <w:highlight w:val="none"/>
        </w:rPr>
        <w:t>批发和零售业、住宿和餐饮业单位经营形式：</w:t>
      </w:r>
      <w:r>
        <w:rPr>
          <w:rFonts w:hint="eastAsia"/>
          <w:sz w:val="18"/>
          <w:szCs w:val="18"/>
          <w:highlight w:val="none"/>
          <w:u w:val="single"/>
        </w:rPr>
        <w:t>本项限批发和零售业、住宿和餐饮业单位填写。</w:t>
      </w:r>
      <w:r>
        <w:rPr>
          <w:rFonts w:hint="eastAsia"/>
          <w:sz w:val="18"/>
          <w:szCs w:val="18"/>
          <w:highlight w:val="none"/>
          <w:u w:val="none"/>
        </w:rPr>
        <w:t>批发和零售业、住宿和餐饮业单位经营的基本形式，包括：</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rFonts w:hint="eastAsia"/>
          <w:sz w:val="18"/>
          <w:szCs w:val="18"/>
          <w:highlight w:val="none"/>
          <w:u w:val="none"/>
        </w:rPr>
      </w:pPr>
      <w:r>
        <w:rPr>
          <w:rFonts w:hint="eastAsia"/>
          <w:sz w:val="18"/>
          <w:szCs w:val="18"/>
          <w:highlight w:val="none"/>
          <w:u w:val="none"/>
        </w:rPr>
        <w:t>（1）独立门店：以相对独立的店铺形式，单独组织批发和零售、住宿和餐饮经营活动的企业。</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rFonts w:hint="eastAsia"/>
          <w:sz w:val="18"/>
          <w:szCs w:val="18"/>
          <w:highlight w:val="none"/>
          <w:u w:val="none"/>
        </w:rPr>
      </w:pPr>
      <w:r>
        <w:rPr>
          <w:rFonts w:hint="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rFonts w:hint="eastAsia"/>
          <w:sz w:val="18"/>
          <w:szCs w:val="18"/>
          <w:highlight w:val="none"/>
          <w:u w:val="none"/>
        </w:rPr>
      </w:pPr>
      <w:r>
        <w:rPr>
          <w:rFonts w:hint="eastAsia"/>
          <w:sz w:val="18"/>
          <w:szCs w:val="18"/>
          <w:highlight w:val="none"/>
          <w:u w:val="none"/>
        </w:rPr>
        <w:t>（3）连锁直营店：由连锁企业总部投资开设，按连锁经营管理模式，由总店（总部）统一管理，按照总店（总部）的指示和服务规范要求，承担日常销售业务的店铺。</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rFonts w:hint="eastAsia"/>
          <w:sz w:val="18"/>
          <w:szCs w:val="18"/>
          <w:highlight w:val="none"/>
          <w:u w:val="none"/>
        </w:rPr>
      </w:pPr>
      <w:r>
        <w:rPr>
          <w:rFonts w:hint="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rFonts w:hint="eastAsia"/>
          <w:sz w:val="18"/>
          <w:szCs w:val="18"/>
          <w:highlight w:val="none"/>
          <w:u w:val="none"/>
        </w:rPr>
      </w:pPr>
      <w:r>
        <w:rPr>
          <w:rFonts w:hint="eastAsia"/>
          <w:sz w:val="18"/>
          <w:szCs w:val="18"/>
          <w:highlight w:val="none"/>
          <w:u w:val="none"/>
        </w:rPr>
        <w:t>（9）其他：指不属于上述经营形式的企业，如摊位。</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rFonts w:hint="eastAsia"/>
          <w:b/>
          <w:sz w:val="18"/>
          <w:szCs w:val="18"/>
          <w:highlight w:val="none"/>
        </w:rPr>
      </w:pPr>
      <w:r>
        <w:rPr>
          <w:rFonts w:hint="eastAsia"/>
          <w:b/>
          <w:sz w:val="18"/>
          <w:szCs w:val="18"/>
          <w:highlight w:val="none"/>
        </w:rPr>
        <w:t>连锁品牌（商标或商号名称）</w:t>
      </w:r>
      <w:r>
        <w:rPr>
          <w:rFonts w:hint="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29</w:t>
      </w:r>
      <w:r>
        <w:rPr>
          <w:rFonts w:hint="eastAsia"/>
          <w:b/>
          <w:sz w:val="18"/>
          <w:szCs w:val="18"/>
          <w:highlight w:val="none"/>
        </w:rPr>
        <w:t xml:space="preserve"> 零售业态：</w:t>
      </w:r>
      <w:r>
        <w:rPr>
          <w:rFonts w:hint="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sz w:val="18"/>
          <w:szCs w:val="18"/>
          <w:highlight w:val="none"/>
          <w:u w:val="single"/>
        </w:rPr>
        <w:t>本项限零售业企业产业活动单位填写。</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rPr>
      </w:pPr>
      <w:r>
        <w:rPr>
          <w:b/>
          <w:sz w:val="18"/>
          <w:szCs w:val="18"/>
          <w:highlight w:val="none"/>
        </w:rPr>
        <w:t>22</w:t>
      </w:r>
      <w:r>
        <w:rPr>
          <w:rFonts w:hint="eastAsia"/>
          <w:b/>
          <w:sz w:val="18"/>
          <w:szCs w:val="18"/>
          <w:highlight w:val="none"/>
        </w:rPr>
        <w:t xml:space="preserve"> 住宿业单位星级评定情况：</w:t>
      </w:r>
      <w:r>
        <w:rPr>
          <w:rFonts w:hint="eastAsia"/>
          <w:sz w:val="18"/>
          <w:szCs w:val="18"/>
          <w:highlight w:val="none"/>
          <w:u w:val="single"/>
        </w:rPr>
        <w:t>本项限住宿业单位填写。</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19" w:firstLineChars="233"/>
        <w:textAlignment w:val="auto"/>
        <w:outlineLvl w:val="9"/>
        <w:rPr>
          <w:sz w:val="18"/>
          <w:szCs w:val="18"/>
          <w:highlight w:val="none"/>
        </w:rPr>
      </w:pPr>
      <w:r>
        <w:rPr>
          <w:rFonts w:hint="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p>
      <w:pPr>
        <w:keepNext w:val="0"/>
        <w:keepLines w:val="0"/>
        <w:pageBreakBefore w:val="0"/>
        <w:widowControl w:val="0"/>
        <w:kinsoku/>
        <w:wordWrap/>
        <w:overflowPunct/>
        <w:topLinePunct w:val="0"/>
        <w:autoSpaceDE/>
        <w:autoSpaceDN/>
        <w:bidi w:val="0"/>
        <w:adjustRightInd/>
        <w:snapToGrid/>
        <w:spacing w:line="252" w:lineRule="exact"/>
        <w:ind w:left="-850" w:leftChars="-405" w:right="-617" w:rightChars="-294" w:firstLine="421" w:firstLineChars="233"/>
        <w:textAlignment w:val="auto"/>
        <w:outlineLvl w:val="9"/>
        <w:rPr>
          <w:sz w:val="18"/>
          <w:szCs w:val="18"/>
          <w:highlight w:val="none"/>
          <w:u w:val="single"/>
        </w:rPr>
      </w:pPr>
      <w:r>
        <w:rPr>
          <w:b/>
          <w:sz w:val="18"/>
          <w:szCs w:val="18"/>
          <w:highlight w:val="none"/>
        </w:rPr>
        <w:t>25</w:t>
      </w:r>
      <w:r>
        <w:rPr>
          <w:rFonts w:hint="eastAsia"/>
          <w:b/>
          <w:sz w:val="18"/>
          <w:szCs w:val="18"/>
          <w:highlight w:val="none"/>
        </w:rPr>
        <w:t xml:space="preserve"> 归属法人单位情况：</w:t>
      </w:r>
      <w:r>
        <w:rPr>
          <w:rFonts w:hint="eastAsia"/>
          <w:sz w:val="18"/>
          <w:szCs w:val="18"/>
          <w:highlight w:val="none"/>
        </w:rPr>
        <w:t>反映产业活动单位与其归属的法人单位的关系。主要包括产业活动单位所归属的法人单位的统一社会信用代码（组织机构代码）、单位名称、详细地址，以及法人单位所在地区的行政区划代码。</w:t>
      </w:r>
      <w:r>
        <w:rPr>
          <w:rFonts w:hint="eastAsia"/>
          <w:sz w:val="18"/>
          <w:szCs w:val="18"/>
          <w:highlight w:val="none"/>
          <w:u w:val="single"/>
        </w:rPr>
        <w:t>所有产业活动单位均填写本项。</w:t>
      </w:r>
    </w:p>
    <w:bookmarkEnd w:id="0"/>
    <w:sectPr>
      <w:pgSz w:w="11906" w:h="16838"/>
      <w:pgMar w:top="227" w:right="1797" w:bottom="232"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5B"/>
    <w:rsid w:val="00064654"/>
    <w:rsid w:val="001B7A74"/>
    <w:rsid w:val="002D5DCA"/>
    <w:rsid w:val="003F33A3"/>
    <w:rsid w:val="00432DCA"/>
    <w:rsid w:val="0067465B"/>
    <w:rsid w:val="006C5F59"/>
    <w:rsid w:val="006D6424"/>
    <w:rsid w:val="006E1E31"/>
    <w:rsid w:val="007341DB"/>
    <w:rsid w:val="007521BC"/>
    <w:rsid w:val="007F3C62"/>
    <w:rsid w:val="00876D89"/>
    <w:rsid w:val="00A11F75"/>
    <w:rsid w:val="00AA64B2"/>
    <w:rsid w:val="00B73EA6"/>
    <w:rsid w:val="00D41597"/>
    <w:rsid w:val="00DE2B6D"/>
    <w:rsid w:val="00DF37E7"/>
    <w:rsid w:val="00E06C2A"/>
    <w:rsid w:val="00E07FD3"/>
    <w:rsid w:val="00E554FA"/>
    <w:rsid w:val="00E729F1"/>
    <w:rsid w:val="00E85D8E"/>
    <w:rsid w:val="00EA512B"/>
    <w:rsid w:val="00EC4DFD"/>
    <w:rsid w:val="08A1713D"/>
    <w:rsid w:val="15DA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sztj</Company>
  <Pages>2</Pages>
  <Words>746</Words>
  <Characters>4255</Characters>
  <Lines>35</Lines>
  <Paragraphs>9</Paragraphs>
  <TotalTime>9</TotalTime>
  <ScaleCrop>false</ScaleCrop>
  <LinksUpToDate>false</LinksUpToDate>
  <CharactersWithSpaces>4992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2019-01-10T07:32:00Z</dcterms:created>
  <dc:creator>Maixuefei</dc:creator>
  <cp:lastModifiedBy>李剑辉</cp:lastModifiedBy>
  <dcterms:modified xsi:type="dcterms:W3CDTF">2019-12-11T09:01:02Z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