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0" w:firstLineChars="0"/>
        <w:rPr>
          <w:rFonts w:ascii="黑体" w:hAnsi="黑体" w:eastAsia="黑体" w:cs="黑体"/>
          <w:sz w:val="32"/>
          <w:szCs w:val="32"/>
        </w:rPr>
      </w:pPr>
      <w:r>
        <w:rPr>
          <w:rFonts w:hint="eastAsia" w:ascii="黑体" w:hAnsi="黑体" w:eastAsia="黑体" w:cs="黑体"/>
          <w:sz w:val="32"/>
          <w:szCs w:val="32"/>
        </w:rPr>
        <w:t>附件2</w:t>
      </w:r>
    </w:p>
    <w:p>
      <w:pPr>
        <w:spacing w:before="156" w:after="156" w:line="400" w:lineRule="exact"/>
        <w:ind w:firstLine="723"/>
        <w:jc w:val="center"/>
        <w:rPr>
          <w:rFonts w:asciiTheme="majorEastAsia" w:hAnsiTheme="majorEastAsia" w:eastAsiaTheme="majorEastAsia"/>
          <w:b/>
          <w:sz w:val="36"/>
          <w:szCs w:val="36"/>
        </w:rPr>
      </w:pPr>
      <w:bookmarkStart w:id="0" w:name="_GoBack"/>
      <w:r>
        <w:rPr>
          <w:rFonts w:hint="eastAsia" w:cs="宋体" w:asciiTheme="majorEastAsia" w:hAnsiTheme="majorEastAsia" w:eastAsiaTheme="majorEastAsia"/>
          <w:b/>
          <w:bCs/>
          <w:color w:val="000000"/>
          <w:kern w:val="0"/>
          <w:sz w:val="36"/>
          <w:szCs w:val="36"/>
        </w:rPr>
        <w:t>电子商务示范企业遴选（综合评价）指标体系</w:t>
      </w:r>
    </w:p>
    <w:bookmarkEnd w:id="0"/>
    <w:tbl>
      <w:tblPr>
        <w:tblStyle w:val="2"/>
        <w:tblW w:w="14681" w:type="dxa"/>
        <w:jc w:val="center"/>
        <w:tblInd w:w="93" w:type="dxa"/>
        <w:tblLayout w:type="fixed"/>
        <w:tblCellMar>
          <w:top w:w="0" w:type="dxa"/>
          <w:left w:w="108" w:type="dxa"/>
          <w:bottom w:w="0" w:type="dxa"/>
          <w:right w:w="108" w:type="dxa"/>
        </w:tblCellMar>
      </w:tblPr>
      <w:tblGrid>
        <w:gridCol w:w="1171"/>
        <w:gridCol w:w="2297"/>
        <w:gridCol w:w="3143"/>
        <w:gridCol w:w="685"/>
        <w:gridCol w:w="4714"/>
        <w:gridCol w:w="2671"/>
      </w:tblGrid>
      <w:tr>
        <w:tblPrEx>
          <w:tblLayout w:type="fixed"/>
          <w:tblCellMar>
            <w:top w:w="0" w:type="dxa"/>
            <w:left w:w="108" w:type="dxa"/>
            <w:bottom w:w="0" w:type="dxa"/>
            <w:right w:w="108" w:type="dxa"/>
          </w:tblCellMar>
        </w:tblPrEx>
        <w:trPr>
          <w:trHeight w:val="975" w:hRule="atLeast"/>
          <w:jc w:val="center"/>
        </w:trPr>
        <w:tc>
          <w:tcPr>
            <w:tcW w:w="14681"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before="156" w:after="156" w:line="280" w:lineRule="exact"/>
              <w:ind w:left="1054" w:hanging="1054" w:hangingChars="500"/>
              <w:jc w:val="left"/>
              <w:rPr>
                <w:rFonts w:cs="宋体"/>
                <w:b/>
                <w:bCs/>
                <w:color w:val="000000"/>
                <w:kern w:val="0"/>
                <w:sz w:val="21"/>
                <w:szCs w:val="21"/>
              </w:rPr>
            </w:pPr>
            <w:r>
              <w:rPr>
                <w:rFonts w:hint="eastAsia" w:cs="宋体"/>
                <w:b/>
                <w:bCs/>
                <w:color w:val="000000"/>
                <w:kern w:val="0"/>
                <w:sz w:val="21"/>
                <w:szCs w:val="21"/>
              </w:rPr>
              <w:t>指标说明：电子商务示范企业遴选（综合评价）指标主要从“经营能力”、“示范能力”、“带动能力”三个方面进行评价，分为共性评价部分和企业分类评价部分，其中共性评价部分适用于全部申报企业，企业分类评价部分适用于申报该类示范的企业。</w:t>
            </w:r>
          </w:p>
        </w:tc>
      </w:tr>
      <w:tr>
        <w:tblPrEx>
          <w:tblLayout w:type="fixed"/>
          <w:tblCellMar>
            <w:top w:w="0" w:type="dxa"/>
            <w:left w:w="108" w:type="dxa"/>
            <w:bottom w:w="0" w:type="dxa"/>
            <w:right w:w="108" w:type="dxa"/>
          </w:tblCellMar>
        </w:tblPrEx>
        <w:trPr>
          <w:trHeight w:val="501" w:hRule="atLeast"/>
          <w:jc w:val="center"/>
        </w:trPr>
        <w:tc>
          <w:tcPr>
            <w:tcW w:w="14681"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before="156" w:after="156" w:line="280" w:lineRule="exact"/>
              <w:ind w:firstLine="562"/>
              <w:jc w:val="center"/>
              <w:rPr>
                <w:rFonts w:ascii="黑体" w:hAnsi="黑体" w:eastAsia="黑体" w:cs="宋体"/>
                <w:b/>
                <w:bCs/>
                <w:color w:val="000000"/>
                <w:kern w:val="0"/>
              </w:rPr>
            </w:pPr>
            <w:r>
              <w:rPr>
                <w:rFonts w:hint="eastAsia" w:ascii="黑体" w:hAnsi="黑体" w:eastAsia="黑体" w:cs="宋体"/>
                <w:b/>
                <w:bCs/>
                <w:color w:val="000000"/>
                <w:kern w:val="0"/>
              </w:rPr>
              <w:t>以下指标适用于全部申报企业</w:t>
            </w:r>
          </w:p>
        </w:tc>
      </w:tr>
      <w:tr>
        <w:tblPrEx>
          <w:tblLayout w:type="fixed"/>
          <w:tblCellMar>
            <w:top w:w="0" w:type="dxa"/>
            <w:left w:w="108" w:type="dxa"/>
            <w:bottom w:w="0" w:type="dxa"/>
            <w:right w:w="108" w:type="dxa"/>
          </w:tblCellMar>
        </w:tblPrEx>
        <w:trPr>
          <w:trHeight w:val="240" w:hRule="atLeast"/>
          <w:jc w:val="center"/>
        </w:trPr>
        <w:tc>
          <w:tcPr>
            <w:tcW w:w="1171" w:type="dxa"/>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 xml:space="preserve"> 一级指标</w:t>
            </w:r>
          </w:p>
        </w:tc>
        <w:tc>
          <w:tcPr>
            <w:tcW w:w="2297"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 xml:space="preserve">  二级指标</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 xml:space="preserve">       三级指标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单位</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指标解释与填报注意事项</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需提交证明材料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经营能力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营收情况</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营业收入</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1.报告年度内，企业实现的营业收入；</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报告年度的财务报表。</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营业收入增长率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计算公式为：(报告年度末营业收入/上一年度末营业收入-1)×100%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上一年度的财务报表。</w:t>
            </w:r>
          </w:p>
        </w:tc>
      </w:tr>
      <w:tr>
        <w:tblPrEx>
          <w:tblLayout w:type="fixed"/>
          <w:tblCellMar>
            <w:top w:w="0" w:type="dxa"/>
            <w:left w:w="108" w:type="dxa"/>
            <w:bottom w:w="0" w:type="dxa"/>
            <w:right w:w="108" w:type="dxa"/>
          </w:tblCellMar>
        </w:tblPrEx>
        <w:trPr>
          <w:trHeight w:val="96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纳税</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1.报告年度内，企业缴纳的增值税、企业所得税、员工个人所得税及其他主要税种；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报告年度的财务报表。</w:t>
            </w:r>
          </w:p>
        </w:tc>
      </w:tr>
      <w:tr>
        <w:tblPrEx>
          <w:tblLayout w:type="fixed"/>
          <w:tblCellMar>
            <w:top w:w="0" w:type="dxa"/>
            <w:left w:w="108" w:type="dxa"/>
            <w:bottom w:w="0" w:type="dxa"/>
            <w:right w:w="108" w:type="dxa"/>
          </w:tblCellMar>
        </w:tblPrEx>
        <w:trPr>
          <w:trHeight w:val="24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纳税增长率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计算公式为：(报告年度末纳税额/上一年度末纳税额-1)×100%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上一年度的财务报表。</w:t>
            </w:r>
          </w:p>
        </w:tc>
      </w:tr>
      <w:tr>
        <w:tblPrEx>
          <w:tblLayout w:type="fixed"/>
          <w:tblCellMar>
            <w:top w:w="0" w:type="dxa"/>
            <w:left w:w="108" w:type="dxa"/>
            <w:bottom w:w="0" w:type="dxa"/>
            <w:right w:w="108" w:type="dxa"/>
          </w:tblCellMar>
        </w:tblPrEx>
        <w:trPr>
          <w:trHeight w:val="24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盈利</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企业是否实现盈利。</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报告年度的财务报表。</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上市情况</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上市企业</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企业是否在国内外资本市场公开发行股票。</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企业股票上市发行所在的证券交易机构。</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市值</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1.企业发行股份按市场价格计算的股票总价值；</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2.计算公式为：每股股票的市场价格 × 发行总股数。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企业股票上市发行所在的证券交易机构。</w:t>
            </w:r>
          </w:p>
        </w:tc>
      </w:tr>
      <w:tr>
        <w:tblPrEx>
          <w:tblLayout w:type="fixed"/>
          <w:tblCellMar>
            <w:top w:w="0" w:type="dxa"/>
            <w:left w:w="108" w:type="dxa"/>
            <w:bottom w:w="0" w:type="dxa"/>
            <w:right w:w="108" w:type="dxa"/>
          </w:tblCellMar>
        </w:tblPrEx>
        <w:trPr>
          <w:trHeight w:val="96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人力资源情况</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全体员工数量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从业人数统计口径：在本单位工作并取得劳动报酬或经营收入的实有人员数。从业人员包括在各单位工作的外方人员和港澳台方人员、兼职人员、再就业的离退休人员、借用的外单位人员和第二职业者，但不包括离开本单位仍保留劳动关系的职工。</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报告年度的财务报表。</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管理人员数量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企业中行使管理职能的员工人数。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市场团队人员数量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企业中负责产品销售、市场拓展、营销推广、商务合作等工作的员工人数。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技术团队人员数量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企业中负责技术研发工作的员工人数。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第三方合同人员数量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与第三方签订劳动合同的员工人数。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吸纳应届毕业生就业人数</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企业吸纳应届毕业生就业人数。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毕业证书、社保证明等企业认为能体现该项内容的相关证明材料。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带动农村地区就业人数</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企业吸纳农村地区就业人数。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等线" w:hAnsi="等线" w:eastAsia="等线" w:cs="宋体"/>
                <w:color w:val="000000"/>
                <w:kern w:val="0"/>
                <w:sz w:val="20"/>
                <w:szCs w:val="20"/>
              </w:rPr>
            </w:pPr>
            <w:r>
              <w:rPr>
                <w:rFonts w:hint="eastAsia" w:asciiTheme="majorEastAsia" w:hAnsiTheme="majorEastAsia" w:eastAsiaTheme="majorEastAsia" w:cstheme="majorEastAsia"/>
                <w:color w:val="000000"/>
                <w:kern w:val="0"/>
                <w:sz w:val="20"/>
                <w:szCs w:val="20"/>
              </w:rPr>
              <w:t>示范能力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数字化水平</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云服务空间</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PB</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企业总共拥有的云服务空间容量，包括自建或使用第三方云服务。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大数据应用</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TB</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企业拥有的非结构化数据与结构化数据占据的容量大小。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信息化管理</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企业是否在用户管理、客户管理、供应链管理、订单管理等方面应用数字化、在线化的信息管理系统或工具。</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无纸化办公程度</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264" w:firstLineChars="132"/>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企业电子发票、电子合同、电子文档等文件在全部文件中的占比。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海外投资</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开展海外投资</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企业是否在海外开展电子商务相关业务的投融资或并购活动。</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36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覆盖国家/地区数量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企业海外投资涉及的国家或地区数量。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新闻报道等。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投资额度</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1.报告年度内，企业海外投资总额；</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新闻报道等。</w:t>
            </w:r>
          </w:p>
        </w:tc>
      </w:tr>
      <w:tr>
        <w:tblPrEx>
          <w:tblLayout w:type="fixed"/>
          <w:tblCellMar>
            <w:top w:w="0" w:type="dxa"/>
            <w:left w:w="108" w:type="dxa"/>
            <w:bottom w:w="0" w:type="dxa"/>
            <w:right w:w="108" w:type="dxa"/>
          </w:tblCellMar>
        </w:tblPrEx>
        <w:trPr>
          <w:trHeight w:val="24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科研水平</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研发投入</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企业研发投入占总收入的比例。</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专利数量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1.企业获得的专利授权数量和软件著作权登记数量之和；</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2.与电子商务业务无关的研发成果不应计入在内。</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专利证书号、名称、类型、权利人、取得时间等；软件著作权名称、登记号、属地、权利人、取得时间等。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网络安全</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风控机制</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p>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企业是否在硬件、软件、云防护等方面设立风险防控机制，保护企业网络安全。</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数据保护</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企业是否建立相应的安全协议，保护用户个人数据及隐私信息的安全。</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党建水平</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党员人数</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1.企业全部员工中党员总数；</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2.正式党员和预备党员数。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企业员工统计表格等能体现党员数量的材料。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设立党组织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100" w:firstLineChars="5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企业是否已经设立党组织。</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责任落实</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企业是否开展以下工作：党组织书记履行党建责任，明确责任和任务；建立了机制和制度；讲过专题党课；充分发挥第一责任人的作用，促进了“两个责任”的落实。</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学习贯彻</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企业是否开展以下学习活动：制定相应的学习宣传贯彻计划和方案；定期开展主题党日活动；组织党员定期学习。</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96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党内生活</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开展以下党内活动：执行“三会一课”制度；开展民主生活会、组织生活会、党建述职、民主评议党员活动；积极发展党员；收缴党费并合理使用管理；规范党员管理；贯彻落实《关于新形势下党内政治生活的若干准则》。</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党风廉政</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企业是否开展以下工作：党组织执行政治纪律和政治规矩；推进党风廉政建设和反腐败以及执行廉洁纪律。</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公益慈善</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开展慈善活动</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报告年度内，企业是否开展过公益慈善活动。</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慈善活动总额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企业开展的公益慈善活动价值总额。</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等线" w:hAnsi="等线" w:eastAsia="等线" w:cs="宋体"/>
                <w:color w:val="000000"/>
                <w:kern w:val="0"/>
                <w:sz w:val="20"/>
                <w:szCs w:val="20"/>
              </w:rPr>
            </w:pPr>
            <w:r>
              <w:rPr>
                <w:rFonts w:hint="eastAsia" w:asciiTheme="majorEastAsia" w:hAnsiTheme="majorEastAsia" w:eastAsiaTheme="majorEastAsia" w:cstheme="majorEastAsia"/>
                <w:color w:val="000000"/>
                <w:kern w:val="0"/>
                <w:sz w:val="20"/>
                <w:szCs w:val="20"/>
              </w:rPr>
              <w:t>带动能力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标准建立</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团体标准或行业标准</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报告年度内，企业参与编制的电子商务相关领域团体标准或行业标准数量。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相关批复文件、标准文本或新闻报道等。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国家标准</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报告年度内，企业参与编制的电子商务相关领域国家标准数量。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相关批复文件、标准文本或新闻报道等。</w:t>
            </w:r>
          </w:p>
        </w:tc>
      </w:tr>
      <w:tr>
        <w:tblPrEx>
          <w:tblLayout w:type="fixed"/>
          <w:tblCellMar>
            <w:top w:w="0" w:type="dxa"/>
            <w:left w:w="108" w:type="dxa"/>
            <w:bottom w:w="0" w:type="dxa"/>
            <w:right w:w="108" w:type="dxa"/>
          </w:tblCellMar>
        </w:tblPrEx>
        <w:trPr>
          <w:trHeight w:val="96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环境打造</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企业自治</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1.报告年度内，平台企业是否发布或修订面向平台内电子商务经营者行为的规范性约束制度；</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2.报告年度内，企业是否开展关于自身产品或服务质量的自查及改进工作。</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行业自律</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报告年度内，企业是否与相关监管部门、行业协会或其他企业共同发起或组织有关优化电子商务市场环境的活动。</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绿色发展</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绿色发展措施</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是否制定绿色发展的规划。</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ascii="等线" w:hAnsi="等线" w:eastAsia="等线"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绿色生产流通</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企业是否在产品生产流通过程中使用更为绿色、低碳、可循环的原料及工艺。</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501" w:hRule="atLeast"/>
          <w:jc w:val="center"/>
        </w:trPr>
        <w:tc>
          <w:tcPr>
            <w:tcW w:w="14681" w:type="dxa"/>
            <w:gridSpan w:val="6"/>
            <w:tcBorders>
              <w:top w:val="nil"/>
              <w:left w:val="single" w:color="auto" w:sz="8" w:space="0"/>
              <w:bottom w:val="nil"/>
              <w:right w:val="single" w:color="000000" w:sz="8" w:space="0"/>
            </w:tcBorders>
            <w:shd w:val="clear" w:color="000000" w:fill="FFFFFF"/>
            <w:vAlign w:val="center"/>
          </w:tcPr>
          <w:p>
            <w:pPr>
              <w:widowControl/>
              <w:spacing w:before="156" w:after="156" w:line="280" w:lineRule="exact"/>
              <w:ind w:firstLine="562"/>
              <w:jc w:val="center"/>
              <w:rPr>
                <w:rFonts w:ascii="黑体" w:hAnsi="黑体" w:eastAsia="黑体" w:cs="宋体"/>
                <w:b/>
                <w:bCs/>
                <w:color w:val="000000"/>
                <w:kern w:val="0"/>
              </w:rPr>
            </w:pPr>
            <w:r>
              <w:rPr>
                <w:rFonts w:hint="eastAsia" w:ascii="黑体" w:hAnsi="黑体" w:eastAsia="黑体" w:cs="宋体"/>
                <w:b/>
                <w:bCs/>
                <w:color w:val="000000"/>
                <w:kern w:val="0"/>
              </w:rPr>
              <w:t>以下指标分别适用于不同类型的申报企业</w:t>
            </w:r>
          </w:p>
        </w:tc>
      </w:tr>
      <w:tr>
        <w:tblPrEx>
          <w:tblLayout w:type="fixed"/>
          <w:tblCellMar>
            <w:top w:w="0" w:type="dxa"/>
            <w:left w:w="108" w:type="dxa"/>
            <w:bottom w:w="0" w:type="dxa"/>
            <w:right w:w="108" w:type="dxa"/>
          </w:tblCellMar>
        </w:tblPrEx>
        <w:trPr>
          <w:trHeight w:val="288" w:hRule="atLeast"/>
          <w:jc w:val="center"/>
        </w:trPr>
        <w:tc>
          <w:tcPr>
            <w:tcW w:w="14681" w:type="dxa"/>
            <w:gridSpan w:val="6"/>
            <w:tcBorders>
              <w:top w:val="nil"/>
              <w:left w:val="single" w:color="auto" w:sz="8" w:space="0"/>
              <w:bottom w:val="single" w:color="auto" w:sz="4" w:space="0"/>
              <w:right w:val="single" w:color="000000" w:sz="8" w:space="0"/>
            </w:tcBorders>
            <w:shd w:val="clear" w:color="000000" w:fill="FFFFFF"/>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注：申报“综合型电子商务示范企业”的应适用不少于两类指标(</w:t>
            </w:r>
            <w:r>
              <w:rPr>
                <w:rFonts w:hint="eastAsia" w:cs="宋体" w:asciiTheme="majorEastAsia" w:hAnsiTheme="majorEastAsia" w:eastAsiaTheme="majorEastAsia"/>
                <w:kern w:val="0"/>
                <w:sz w:val="20"/>
                <w:szCs w:val="20"/>
              </w:rPr>
              <w:t>不含“</w:t>
            </w:r>
            <w:r>
              <w:rPr>
                <w:rFonts w:hint="eastAsia" w:asciiTheme="majorEastAsia" w:hAnsiTheme="majorEastAsia" w:eastAsiaTheme="majorEastAsia" w:cstheme="majorEastAsia"/>
                <w:sz w:val="20"/>
                <w:szCs w:val="20"/>
              </w:rPr>
              <w:t>其他创新型电子商务企业”）</w:t>
            </w:r>
          </w:p>
        </w:tc>
      </w:tr>
      <w:tr>
        <w:tblPrEx>
          <w:tblLayout w:type="fixed"/>
          <w:tblCellMar>
            <w:top w:w="0" w:type="dxa"/>
            <w:left w:w="108" w:type="dxa"/>
            <w:bottom w:w="0" w:type="dxa"/>
            <w:right w:w="108" w:type="dxa"/>
          </w:tblCellMar>
        </w:tblPrEx>
        <w:trPr>
          <w:trHeight w:val="408" w:hRule="atLeast"/>
          <w:jc w:val="center"/>
        </w:trPr>
        <w:tc>
          <w:tcPr>
            <w:tcW w:w="14681"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before="156" w:after="156" w:line="28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电子商务平台企业</w:t>
            </w:r>
          </w:p>
        </w:tc>
      </w:tr>
      <w:tr>
        <w:tblPrEx>
          <w:tblLayout w:type="fixed"/>
          <w:tblCellMar>
            <w:top w:w="0" w:type="dxa"/>
            <w:left w:w="108" w:type="dxa"/>
            <w:bottom w:w="0" w:type="dxa"/>
            <w:right w:w="108" w:type="dxa"/>
          </w:tblCellMar>
        </w:tblPrEx>
        <w:trPr>
          <w:trHeight w:val="339" w:hRule="atLeast"/>
          <w:jc w:val="center"/>
        </w:trPr>
        <w:tc>
          <w:tcPr>
            <w:tcW w:w="14681" w:type="dxa"/>
            <w:gridSpan w:val="6"/>
            <w:tcBorders>
              <w:top w:val="nil"/>
              <w:left w:val="single" w:color="auto" w:sz="8" w:space="0"/>
              <w:bottom w:val="single" w:color="auto" w:sz="4" w:space="0"/>
              <w:right w:val="single" w:color="000000" w:sz="8" w:space="0"/>
            </w:tcBorders>
            <w:shd w:val="clear" w:color="000000" w:fill="FFFFFF"/>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ascii="楷体_GB2312" w:hAnsi="楷体_GB2312" w:eastAsia="楷体_GB2312" w:cs="楷体_GB2312"/>
                <w:b/>
                <w:bCs/>
                <w:color w:val="000000"/>
                <w:kern w:val="0"/>
                <w:sz w:val="20"/>
                <w:szCs w:val="20"/>
              </w:rPr>
              <w:t>以下部分适用于实物型电子商务平台企业</w:t>
            </w:r>
          </w:p>
        </w:tc>
      </w:tr>
      <w:tr>
        <w:tblPrEx>
          <w:tblLayout w:type="fixed"/>
          <w:tblCellMar>
            <w:top w:w="0" w:type="dxa"/>
            <w:left w:w="108" w:type="dxa"/>
            <w:bottom w:w="0" w:type="dxa"/>
            <w:right w:w="108" w:type="dxa"/>
          </w:tblCellMar>
        </w:tblPrEx>
        <w:trPr>
          <w:trHeight w:val="240" w:hRule="atLeast"/>
          <w:jc w:val="center"/>
        </w:trPr>
        <w:tc>
          <w:tcPr>
            <w:tcW w:w="1171" w:type="dxa"/>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等线" w:hAnsi="等线" w:eastAsia="等线" w:cs="宋体"/>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一级指标</w:t>
            </w:r>
          </w:p>
        </w:tc>
        <w:tc>
          <w:tcPr>
            <w:tcW w:w="2297"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 xml:space="preserve">  二级指标</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三级指标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单位</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指标解释与填报注意事项</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需提交证明材料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color w:val="000000"/>
                <w:kern w:val="0"/>
                <w:sz w:val="20"/>
                <w:szCs w:val="20"/>
              </w:rPr>
            </w:pPr>
            <w:r>
              <w:rPr>
                <w:rFonts w:hint="eastAsia" w:cs="宋体"/>
                <w:color w:val="000000"/>
                <w:kern w:val="0"/>
                <w:sz w:val="20"/>
                <w:szCs w:val="20"/>
              </w:rPr>
              <w:t xml:space="preserve"> 经营能力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业务规模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订单量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万件</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1.报告年度内，企业实现的电子商务订单量；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2.单位：万件。不要自行改变单位；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电子商务交易额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1.报告年度内，企业实现的电子商务交易额或网上零售额；</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电子商务交易额增长率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计算公式为：(报告年度末电子商务交易额/上一年度末电子商务交易额-1)×100%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下沉市场交易额占比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三、四、五线城市以及县域、农村市场的电商交易额占总额的比例。</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该项市场份额统计表等企业认为能体现该项内容的相关证明材料。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用户规模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个人用户注册数量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1.报告年度内，平台上的个人用户注册数量；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个人用户注册数量增长率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计算公式为：(报告年度末个人用户注册数量/上一年度末个人用户注册数量-1)×100%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企业用户注册数量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1.报告年度内，平台上的企业用户注册数量；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企业用户注册数量增长率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计算公式为：(报告年度末企业用户注册数量/上一年度末企业用户注册数量-1)×100%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before="156" w:after="156" w:line="280" w:lineRule="exact"/>
              <w:ind w:firstLine="0" w:firstLineChars="0"/>
              <w:rPr>
                <w:rFonts w:cs="宋体"/>
                <w:color w:val="000000"/>
                <w:kern w:val="0"/>
                <w:sz w:val="20"/>
                <w:szCs w:val="20"/>
              </w:rPr>
            </w:pPr>
            <w:r>
              <w:rPr>
                <w:rFonts w:hint="eastAsia" w:cs="宋体"/>
                <w:color w:val="000000"/>
                <w:kern w:val="0"/>
                <w:sz w:val="20"/>
                <w:szCs w:val="20"/>
              </w:rPr>
              <w:t>示范能力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国际化</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开展跨境电商业务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企业是否通过跨境电商的方式将商品出售给境外企业或个人客户，或开展跨境电商零售进口业务。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跨境电商交易额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1.报告年度内，企业实现的跨境电商交易额；</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跨境电商交易额增长率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计算公式为：(报告年度末跨境电商交易额/上一年度末跨境电商交易额-1)×100%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覆盖“一带一路”沿线国家</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企业跨境电商业务的商品来源国或出口目的地国中是否包含“一带一路”沿线国家。</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交易凭证或新闻报道等。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覆盖新兴市场国家</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企业跨境电商业务的商品来源国或出口目的地国中是否包含新兴市场国家。</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交易凭证或新闻报道等。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模式创新</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直播带货交易额占比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企业的电子商务交易额中，通过直播带货实现的交易额占比。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社交电商交易额占比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企业的电子商务交易额中，通过社交电商实现的交易额占比。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反向定制交易额占比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企业的电子商务交易额中，反向定制类的交易额占比。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工厂直供交易额占比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企业的电子商务交易额中，工厂直供商品的交易额占比。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应急保障</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应急保障机制</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企业是否建立应急保障机制，确保在自然灾害、突发疫情等重大事件中能够为社会提供应急物资。</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新冠疫情中供应物资货值</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在新冠疫情期间，企业为社会提供的应急物资对应的货值。</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color w:val="000000"/>
                <w:kern w:val="0"/>
                <w:sz w:val="20"/>
                <w:szCs w:val="20"/>
              </w:rPr>
            </w:pPr>
            <w:r>
              <w:rPr>
                <w:rFonts w:hint="eastAsia" w:cs="宋体"/>
                <w:color w:val="000000"/>
                <w:kern w:val="0"/>
                <w:sz w:val="20"/>
                <w:szCs w:val="20"/>
              </w:rPr>
              <w:t xml:space="preserve"> 带动能力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扶农助农</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农产品上行</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是否应用社交电商模式助力农产品上行，促进农民增收。</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精准扶贫</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是否通过电子商务助力农村贫困人口就业创业和增收脱贫人数。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农产品网上零售额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1.报告年度内，企业实现的农产品网上零售额；</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农产品网上零售额增长率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计算公式为：(报告年度末农产品网上零售额/上一年度末农产品网上零售额-1)×100%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24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孵化农产品品牌</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报告年度内，企业孵化的农产品品牌数量。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建有农村电商服务载体</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报告年度内，企业在农村地区新建电商中心、配送网点、服务站等载体数量。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实体商业</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新模式新业态应用</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企业是否运用社交、直播、小程序等电商新模式与实体商业实现线上线下融合发展。</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布局线下渠道</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企业是否通过开设实体店、投资并购、扩展销售渠道等方式布局线下业态。</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产业带动</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带动传统品牌数量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报告年度内，企业带动多少个传统品牌实现销售、营销等环节的线上化。</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带动新国货品牌数量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报告年度内，企业带动多少个新国货品牌实现销售、营销等环节的线上化。</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载体布局</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企业是否在产业带布局楼宇、园区或基地等载体。</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339" w:hRule="atLeast"/>
          <w:jc w:val="center"/>
        </w:trPr>
        <w:tc>
          <w:tcPr>
            <w:tcW w:w="14681" w:type="dxa"/>
            <w:gridSpan w:val="6"/>
            <w:tcBorders>
              <w:top w:val="nil"/>
              <w:left w:val="single" w:color="auto" w:sz="8" w:space="0"/>
              <w:bottom w:val="single" w:color="auto" w:sz="4" w:space="0"/>
              <w:right w:val="single" w:color="000000" w:sz="8" w:space="0"/>
            </w:tcBorders>
            <w:shd w:val="clear" w:color="000000" w:fill="FFFFFF"/>
            <w:vAlign w:val="center"/>
          </w:tcPr>
          <w:p>
            <w:pPr>
              <w:widowControl/>
              <w:spacing w:before="156" w:after="156" w:line="280" w:lineRule="exact"/>
              <w:ind w:firstLine="402"/>
              <w:jc w:val="center"/>
              <w:rPr>
                <w:rFonts w:ascii="黑体" w:hAnsi="黑体" w:eastAsia="黑体" w:cs="宋体"/>
                <w:b/>
                <w:bCs/>
                <w:color w:val="000000"/>
                <w:kern w:val="0"/>
                <w:sz w:val="24"/>
                <w:szCs w:val="24"/>
              </w:rPr>
            </w:pPr>
            <w:r>
              <w:rPr>
                <w:rFonts w:hint="eastAsia" w:ascii="楷体_GB2312" w:hAnsi="楷体_GB2312" w:eastAsia="楷体_GB2312" w:cs="楷体_GB2312"/>
                <w:b/>
                <w:bCs/>
                <w:color w:val="000000"/>
                <w:kern w:val="0"/>
                <w:sz w:val="20"/>
                <w:szCs w:val="20"/>
              </w:rPr>
              <w:t>以下部分适用于数字生活服务型平台企业</w:t>
            </w:r>
          </w:p>
        </w:tc>
      </w:tr>
      <w:tr>
        <w:tblPrEx>
          <w:tblLayout w:type="fixed"/>
          <w:tblCellMar>
            <w:top w:w="0" w:type="dxa"/>
            <w:left w:w="108" w:type="dxa"/>
            <w:bottom w:w="0" w:type="dxa"/>
            <w:right w:w="108" w:type="dxa"/>
          </w:tblCellMar>
        </w:tblPrEx>
        <w:trPr>
          <w:trHeight w:val="240" w:hRule="atLeast"/>
          <w:jc w:val="center"/>
        </w:trPr>
        <w:tc>
          <w:tcPr>
            <w:tcW w:w="1171" w:type="dxa"/>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b/>
                <w:bCs/>
                <w:color w:val="000000"/>
                <w:kern w:val="0"/>
                <w:sz w:val="20"/>
                <w:szCs w:val="20"/>
              </w:rPr>
            </w:pPr>
            <w:r>
              <w:rPr>
                <w:rFonts w:hint="eastAsia" w:cs="宋体"/>
                <w:b/>
                <w:bCs/>
                <w:color w:val="000000"/>
                <w:kern w:val="0"/>
                <w:sz w:val="20"/>
                <w:szCs w:val="20"/>
              </w:rPr>
              <w:t>一级指标</w:t>
            </w:r>
          </w:p>
        </w:tc>
        <w:tc>
          <w:tcPr>
            <w:tcW w:w="2297"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 xml:space="preserve">   二级指标</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 xml:space="preserve">       三级指标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单位</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指标解释与填报注意事项</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402"/>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需提交证明材料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color w:val="000000"/>
                <w:kern w:val="0"/>
                <w:sz w:val="20"/>
                <w:szCs w:val="20"/>
              </w:rPr>
            </w:pPr>
            <w:r>
              <w:rPr>
                <w:rFonts w:hint="eastAsia" w:cs="宋体"/>
                <w:color w:val="000000"/>
                <w:kern w:val="0"/>
                <w:sz w:val="20"/>
                <w:szCs w:val="20"/>
              </w:rPr>
              <w:t>经营能力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业务规模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订单量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万件</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1.报告年度内，企业实现的网络化服务订单量；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2.单位：万件。不要自行改变单位；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96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网络化服务收入</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1.报告年度内，企业实现的网络化服务收入，包括外卖、教育、出行、健康、住宿、文娱、健身等；</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网络化服务收入增长率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计算公式为：(报告年度末网络化服务收入/上一年度末网络化服务收入-1)×100%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用户规模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用户注册数量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1.报告年度内，平台上的用户注册数量；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用户注册数量增长率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计算公式为：(报告年度末用户注册数量/上一年度末用户注册数量-1)×100%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平台内经营者规模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平台内经营者数量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1.报告年度内，平台上的经营者数量；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平台内经营者数量增长率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计算公式为：(报告年度末平台内经营者数量/上一年度末平台内经营者数量-1)×100%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before="156" w:after="156" w:line="280" w:lineRule="exact"/>
              <w:ind w:firstLine="0" w:firstLineChars="0"/>
              <w:rPr>
                <w:rFonts w:cs="宋体"/>
                <w:color w:val="000000"/>
                <w:kern w:val="0"/>
                <w:sz w:val="20"/>
                <w:szCs w:val="20"/>
              </w:rPr>
            </w:pPr>
            <w:r>
              <w:rPr>
                <w:rFonts w:hint="eastAsia" w:cs="宋体"/>
                <w:color w:val="000000"/>
                <w:kern w:val="0"/>
                <w:sz w:val="20"/>
                <w:szCs w:val="20"/>
              </w:rPr>
              <w:t>示范能力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技术创新</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人工智能</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企业是否在用户管理、订单管理、路径优化等方面运用人工智能技术。</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大数据</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企业是否在用户画像管理、用户行为分析、算法决策等方面运用大数据技术。</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无人设备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企业是否通过无人机、无人车、无人终端等无人设备提供服务。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其他技术创新</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企业是否开展上述技术以外的其他技术创新。</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应急保障</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应急保障机制</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企业是否建立应急保障机制，确保在自然灾害、突发疫情等重大事件中能够为社会提供应急服务。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新冠疫情中供应物资货值</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在新冠疫情期间，企业为社会提供的应急服务对应的价值。</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相关工作或活动的通知、记录、报道、照片、文档等。</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服务出海</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境外服务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企业是否在海外提供外卖、教育、出行、健康、住宿、文娱、健身等网络化服务。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境外服务规模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1.报告年度内，企业在境外实现的网络化服务交易规模；</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08" w:hRule="atLeast"/>
          <w:jc w:val="center"/>
        </w:trPr>
        <w:tc>
          <w:tcPr>
            <w:tcW w:w="14681"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before="156" w:after="156" w:line="28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电子商务品牌经销企业</w:t>
            </w:r>
          </w:p>
        </w:tc>
      </w:tr>
      <w:tr>
        <w:tblPrEx>
          <w:tblLayout w:type="fixed"/>
          <w:tblCellMar>
            <w:top w:w="0" w:type="dxa"/>
            <w:left w:w="108" w:type="dxa"/>
            <w:bottom w:w="0" w:type="dxa"/>
            <w:right w:w="108" w:type="dxa"/>
          </w:tblCellMar>
        </w:tblPrEx>
        <w:trPr>
          <w:trHeight w:val="240" w:hRule="atLeast"/>
          <w:jc w:val="center"/>
        </w:trPr>
        <w:tc>
          <w:tcPr>
            <w:tcW w:w="1171" w:type="dxa"/>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一级指标</w:t>
            </w:r>
          </w:p>
        </w:tc>
        <w:tc>
          <w:tcPr>
            <w:tcW w:w="2297"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二级指标</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三级指标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单位</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指标解释与填报注意事项</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402"/>
              <w:jc w:val="center"/>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需提交证明材料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经营能力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业务规模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订单量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万件</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1.报告年度内，企业实现的电子商务订单量；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2.单位：万件。不要自行改变单位；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电子商务销售额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1.报告年度内，企业实现的电子商务销售额；</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电子商务销售额增长率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计算公式为：(报告年度末电子商务销售额/上一年度末电子商务销售额-1)×100%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线上销售额占比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企业线上销售额在销售总额中的占比。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24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品牌数量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企业拥有的品牌数量。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申请的商标及相应文件。</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渠道建设</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入驻线上平台数量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报告年度末，企业已经入驻并开展线上销售业务的电子商务平台数量。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自建销售渠道</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企业是否通过自建站、App、小程序、公众号等方式自建销售渠道。</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线下渠道布局</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企业是否通过入驻卖场、与经销商合作、开实体店等方式布局线下渠道。</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示范能力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模式创新</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自有渠道销售额占比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企业的电子商务销售额中，通过自建渠道实现的销售额占比。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社交电商销售额占比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企业的电子商务销售额中，通过社交电商实现的销售额占比。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直播电商销售额占比</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企业的电子商务销售额中，通过直播电商实现的销售额占比。</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智能制造</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数字化工厂</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企业是否自建或协作数字化工厂。</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个性化定制</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企业是否开展C2M个性化定制业务。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柔性供应链</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企业是否具备柔性供应链能力。</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品牌出海</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境外销售</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企业是否通过跨境电商将商品销售到境外的国家或地区。</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境外销售规模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1.报告年度内，企业实现的跨境电子商务出口交易规模；</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08" w:hRule="atLeast"/>
          <w:jc w:val="center"/>
        </w:trPr>
        <w:tc>
          <w:tcPr>
            <w:tcW w:w="14681"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before="156" w:after="156" w:line="28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电子商务服务企业</w:t>
            </w:r>
          </w:p>
        </w:tc>
      </w:tr>
      <w:tr>
        <w:tblPrEx>
          <w:tblLayout w:type="fixed"/>
          <w:tblCellMar>
            <w:top w:w="0" w:type="dxa"/>
            <w:left w:w="108" w:type="dxa"/>
            <w:bottom w:w="0" w:type="dxa"/>
            <w:right w:w="108" w:type="dxa"/>
          </w:tblCellMar>
        </w:tblPrEx>
        <w:trPr>
          <w:trHeight w:val="240" w:hRule="atLeast"/>
          <w:jc w:val="center"/>
        </w:trPr>
        <w:tc>
          <w:tcPr>
            <w:tcW w:w="1171" w:type="dxa"/>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一级指标</w:t>
            </w:r>
          </w:p>
        </w:tc>
        <w:tc>
          <w:tcPr>
            <w:tcW w:w="2297"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二级指标</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三级指标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单位</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jc w:val="center"/>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指标解释与填报注意事项</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402"/>
              <w:jc w:val="center"/>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需提交证明材料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经营能力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业务规模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业务量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万件</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1.报告年度内，企业实现的电商服务订单量；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2.单位：万件。不要自行改变单位；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电商服务成交额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1.报告年度内，企业实现的电商服务成交额；</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电商服务成交额增长率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计算公式为：(报告年度末服务成交额/上一年度末服务成交额-1)×100%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用户规模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用户注册数量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1.报告年度内，企业的用户数量；</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用户注册数量增长率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计算公式为：(报告年度末用户数量/上一年度末用户数量-1)×100%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示范能力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数字技术应用</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5G</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企业是否正在探索5G在电子商务服务中的应用场景。</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86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人工智能</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企业是否在用户管理、订单管理、路径优化等方面运用人工智能技术。</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大数据</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p>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企业是否在供需匹配、算法决策等方面运用大数据技术。</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 xml:space="preserve">  服务出海</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境外服务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200" w:firstLineChars="1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企业是否为境外的电子商务企业提供服务。</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000000"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境外服务规模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1.报告年度内，企业在境外实现的电商服务交易规模；</w:t>
            </w:r>
            <w:r>
              <w:rPr>
                <w:rFonts w:hint="eastAsia" w:cs="宋体" w:asciiTheme="majorEastAsia" w:hAnsiTheme="majorEastAsia" w:eastAsiaTheme="majorEastAsia"/>
                <w:color w:val="000000"/>
                <w:kern w:val="0"/>
                <w:sz w:val="20"/>
                <w:szCs w:val="20"/>
              </w:rPr>
              <w:br w:type="textWrapping"/>
            </w:r>
            <w:r>
              <w:rPr>
                <w:rFonts w:hint="eastAsia" w:cs="宋体" w:asciiTheme="majorEastAsia" w:hAnsiTheme="majorEastAsia" w:eastAsiaTheme="majorEastAsia"/>
                <w:color w:val="000000"/>
                <w:kern w:val="0"/>
                <w:sz w:val="20"/>
                <w:szCs w:val="20"/>
              </w:rPr>
              <w:t>2.单位：万元。不要自行改变单位。</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带动能力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带动产业数字化</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服务传统企业</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企业是否为线下传统企业提供电商服务，助力其实现数字化转型。</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服务企业数量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报告年度内，企业服务的传统企业数量。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72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赋能中小微企业</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提供支撑服务</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是/否</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企业是否向中小企业开放端口，为其提供支撑服务，服务类型包括但不限于供需对接、资源支撑、金融信贷、技术保障、人才培训等。</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具体做法，取得进展及成效。可以提供具体案例。</w:t>
            </w:r>
          </w:p>
        </w:tc>
      </w:tr>
      <w:tr>
        <w:tblPrEx>
          <w:tblLayout w:type="fixed"/>
          <w:tblCellMar>
            <w:top w:w="0" w:type="dxa"/>
            <w:left w:w="108" w:type="dxa"/>
            <w:bottom w:w="0" w:type="dxa"/>
            <w:right w:w="108" w:type="dxa"/>
          </w:tblCellMar>
        </w:tblPrEx>
        <w:trPr>
          <w:trHeight w:val="240" w:hRule="atLeast"/>
          <w:jc w:val="center"/>
        </w:trPr>
        <w:tc>
          <w:tcPr>
            <w:tcW w:w="1171" w:type="dxa"/>
            <w:vMerge w:val="continue"/>
            <w:tcBorders>
              <w:top w:val="nil"/>
              <w:left w:val="single" w:color="auto" w:sz="8"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asciiTheme="majorEastAsia" w:hAnsiTheme="majorEastAsia" w:eastAsiaTheme="majorEastAsia"/>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赋能企业数量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报告年度内，企业提供的支撑服务覆盖的中小企业数量。</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新闻报道等。</w:t>
            </w:r>
          </w:p>
        </w:tc>
      </w:tr>
      <w:tr>
        <w:tblPrEx>
          <w:tblLayout w:type="fixed"/>
          <w:tblCellMar>
            <w:top w:w="0" w:type="dxa"/>
            <w:left w:w="108" w:type="dxa"/>
            <w:bottom w:w="0" w:type="dxa"/>
            <w:right w:w="108" w:type="dxa"/>
          </w:tblCellMar>
        </w:tblPrEx>
        <w:trPr>
          <w:trHeight w:val="408" w:hRule="atLeast"/>
          <w:jc w:val="center"/>
        </w:trPr>
        <w:tc>
          <w:tcPr>
            <w:tcW w:w="14681"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before="156" w:after="156" w:line="280" w:lineRule="exact"/>
              <w:ind w:firstLine="482"/>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其他创新型电子商务企业</w:t>
            </w:r>
          </w:p>
        </w:tc>
      </w:tr>
      <w:tr>
        <w:tblPrEx>
          <w:tblLayout w:type="fixed"/>
          <w:tblCellMar>
            <w:top w:w="0" w:type="dxa"/>
            <w:left w:w="108" w:type="dxa"/>
            <w:bottom w:w="0" w:type="dxa"/>
            <w:right w:w="108" w:type="dxa"/>
          </w:tblCellMar>
        </w:tblPrEx>
        <w:trPr>
          <w:trHeight w:val="273" w:hRule="atLeast"/>
          <w:jc w:val="center"/>
        </w:trPr>
        <w:tc>
          <w:tcPr>
            <w:tcW w:w="1171" w:type="dxa"/>
            <w:tcBorders>
              <w:top w:val="nil"/>
              <w:left w:val="single" w:color="auto" w:sz="8" w:space="0"/>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一级指标</w:t>
            </w:r>
          </w:p>
        </w:tc>
        <w:tc>
          <w:tcPr>
            <w:tcW w:w="2297"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二级指标</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三级指标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单位</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指标解释与填报注意事项</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402"/>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 xml:space="preserve">  需提交证明材料</w:t>
            </w:r>
          </w:p>
        </w:tc>
      </w:tr>
      <w:tr>
        <w:tblPrEx>
          <w:tblLayout w:type="fixed"/>
          <w:tblCellMar>
            <w:top w:w="0" w:type="dxa"/>
            <w:left w:w="108" w:type="dxa"/>
            <w:bottom w:w="0" w:type="dxa"/>
            <w:right w:w="108" w:type="dxa"/>
          </w:tblCellMar>
        </w:tblPrEx>
        <w:trPr>
          <w:trHeight w:val="720" w:hRule="atLeast"/>
          <w:jc w:val="center"/>
        </w:trPr>
        <w:tc>
          <w:tcPr>
            <w:tcW w:w="1171" w:type="dxa"/>
            <w:vMerge w:val="restart"/>
            <w:tcBorders>
              <w:top w:val="nil"/>
              <w:left w:val="single" w:color="auto" w:sz="8" w:space="0"/>
              <w:bottom w:val="single" w:color="000000" w:sz="8" w:space="0"/>
              <w:right w:val="single" w:color="auto" w:sz="4" w:space="0"/>
            </w:tcBorders>
            <w:shd w:val="clear" w:color="auto" w:fill="auto"/>
            <w:vAlign w:val="center"/>
          </w:tcPr>
          <w:p>
            <w:pPr>
              <w:widowControl/>
              <w:spacing w:before="156" w:after="156" w:line="280" w:lineRule="exact"/>
              <w:ind w:firstLine="0" w:firstLineChars="0"/>
              <w:rPr>
                <w:rFonts w:cs="宋体"/>
                <w:color w:val="000000"/>
                <w:kern w:val="0"/>
                <w:sz w:val="20"/>
                <w:szCs w:val="20"/>
              </w:rPr>
            </w:pPr>
            <w:r>
              <w:rPr>
                <w:rFonts w:hint="eastAsia" w:cs="宋体"/>
                <w:color w:val="000000"/>
                <w:kern w:val="0"/>
                <w:sz w:val="20"/>
                <w:szCs w:val="20"/>
              </w:rPr>
              <w:t>经营能力</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56" w:after="156" w:line="280" w:lineRule="exact"/>
              <w:ind w:firstLine="400"/>
              <w:rPr>
                <w:rFonts w:cs="宋体"/>
                <w:color w:val="000000"/>
                <w:kern w:val="0"/>
                <w:sz w:val="20"/>
                <w:szCs w:val="20"/>
              </w:rPr>
            </w:pPr>
            <w:r>
              <w:rPr>
                <w:rFonts w:hint="eastAsia" w:cs="宋体"/>
                <w:color w:val="000000"/>
                <w:kern w:val="0"/>
                <w:sz w:val="20"/>
                <w:szCs w:val="20"/>
              </w:rPr>
              <w:t xml:space="preserve">   业务规模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主营业务交易额</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万元</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1.报告年度内，企业实现的主营业务交易额；</w:t>
            </w:r>
            <w:r>
              <w:rPr>
                <w:rFonts w:hint="eastAsia" w:cs="宋体"/>
                <w:color w:val="000000"/>
                <w:kern w:val="0"/>
                <w:sz w:val="20"/>
                <w:szCs w:val="20"/>
              </w:rPr>
              <w:br w:type="textWrapping"/>
            </w:r>
            <w:r>
              <w:rPr>
                <w:rFonts w:hint="eastAsia" w:cs="宋体"/>
                <w:color w:val="000000"/>
                <w:kern w:val="0"/>
                <w:sz w:val="20"/>
                <w:szCs w:val="20"/>
              </w:rPr>
              <w:t>2.单位：万元。不要自行改变单位；</w:t>
            </w:r>
            <w:r>
              <w:rPr>
                <w:rFonts w:hint="eastAsia" w:cs="宋体"/>
                <w:color w:val="000000"/>
                <w:kern w:val="0"/>
                <w:sz w:val="20"/>
                <w:szCs w:val="20"/>
              </w:rPr>
              <w:br w:type="textWrapping"/>
            </w:r>
            <w:r>
              <w:rPr>
                <w:rFonts w:hint="eastAsia" w:cs="宋体"/>
                <w:color w:val="000000"/>
                <w:kern w:val="0"/>
                <w:sz w:val="20"/>
                <w:szCs w:val="20"/>
              </w:rPr>
              <w:t>3.此数字应与申报书一致。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auto" w:sz="4"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主营业务交易额增长率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计算公式为：(报告年度末电子商务交易额/上一年度末电子商务交易额-1)×100%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nil"/>
              <w:left w:val="single" w:color="auto" w:sz="4" w:space="0"/>
              <w:bottom w:val="single" w:color="000000" w:sz="8" w:space="0"/>
              <w:right w:val="single" w:color="auto" w:sz="4" w:space="0"/>
            </w:tcBorders>
            <w:shd w:val="clear" w:color="auto" w:fill="auto"/>
            <w:vAlign w:val="center"/>
          </w:tcPr>
          <w:p>
            <w:pPr>
              <w:widowControl/>
              <w:spacing w:before="156" w:after="156" w:line="280" w:lineRule="exact"/>
              <w:ind w:firstLine="400"/>
              <w:rPr>
                <w:rFonts w:cs="宋体"/>
                <w:color w:val="000000"/>
                <w:kern w:val="0"/>
                <w:sz w:val="20"/>
                <w:szCs w:val="20"/>
              </w:rPr>
            </w:pPr>
            <w:r>
              <w:rPr>
                <w:rFonts w:hint="eastAsia" w:cs="宋体"/>
                <w:color w:val="000000"/>
                <w:kern w:val="0"/>
                <w:sz w:val="20"/>
                <w:szCs w:val="20"/>
              </w:rPr>
              <w:t xml:space="preserve">  用户规模</w:t>
            </w: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用户注册数量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个</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1.报告年度内，平台上的用户注册数量；</w:t>
            </w:r>
            <w:r>
              <w:rPr>
                <w:rFonts w:hint="eastAsia" w:cs="宋体"/>
                <w:color w:val="000000"/>
                <w:kern w:val="0"/>
                <w:sz w:val="20"/>
                <w:szCs w:val="20"/>
              </w:rPr>
              <w:br w:type="textWrapping"/>
            </w:r>
            <w:r>
              <w:rPr>
                <w:rFonts w:hint="eastAsia" w:cs="宋体"/>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92"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nil"/>
              <w:left w:val="single" w:color="auto" w:sz="4"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color="auto" w:sz="8"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用户注册数量增长率</w:t>
            </w:r>
          </w:p>
        </w:tc>
        <w:tc>
          <w:tcPr>
            <w:tcW w:w="685" w:type="dxa"/>
            <w:tcBorders>
              <w:top w:val="nil"/>
              <w:left w:val="nil"/>
              <w:bottom w:val="single" w:color="auto" w:sz="8"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w:t>
            </w:r>
          </w:p>
        </w:tc>
        <w:tc>
          <w:tcPr>
            <w:tcW w:w="4714" w:type="dxa"/>
            <w:tcBorders>
              <w:top w:val="nil"/>
              <w:left w:val="nil"/>
              <w:bottom w:val="single" w:color="auto" w:sz="8"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计算公式为：(报告年度末用户注册数量/上一年度末用户注册数量-1)×100%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widowControl/>
              <w:spacing w:before="156" w:after="156" w:line="280" w:lineRule="exact"/>
              <w:ind w:firstLine="400"/>
              <w:rPr>
                <w:rFonts w:cs="宋体"/>
                <w:color w:val="000000"/>
                <w:kern w:val="0"/>
                <w:sz w:val="20"/>
                <w:szCs w:val="20"/>
              </w:rPr>
            </w:pPr>
            <w:r>
              <w:rPr>
                <w:rFonts w:hint="eastAsia" w:cs="宋体"/>
                <w:color w:val="000000"/>
                <w:kern w:val="0"/>
                <w:sz w:val="20"/>
                <w:szCs w:val="20"/>
              </w:rPr>
              <w:t xml:space="preserve">  其他规模</w:t>
            </w:r>
          </w:p>
        </w:tc>
        <w:tc>
          <w:tcPr>
            <w:tcW w:w="3143"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平台访问量（PV、UV）</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次</w:t>
            </w:r>
          </w:p>
        </w:tc>
        <w:tc>
          <w:tcPr>
            <w:tcW w:w="471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1.报告年度内，页面浏览量或点击量、独立访问量；</w:t>
            </w:r>
            <w:r>
              <w:rPr>
                <w:rFonts w:hint="eastAsia" w:cs="宋体"/>
                <w:color w:val="000000"/>
                <w:kern w:val="0"/>
                <w:sz w:val="20"/>
                <w:szCs w:val="20"/>
              </w:rPr>
              <w:br w:type="textWrapping"/>
            </w:r>
            <w:r>
              <w:rPr>
                <w:rFonts w:hint="eastAsia" w:cs="宋体"/>
                <w:color w:val="000000"/>
                <w:kern w:val="0"/>
                <w:sz w:val="20"/>
                <w:szCs w:val="20"/>
              </w:rPr>
              <w:t>2.此数字应与申报书一致。</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single" w:color="auto" w:sz="4" w:space="0"/>
              <w:left w:val="single" w:color="auto" w:sz="4"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平台访问量增长率</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计算公式为：(报告年度末平台访问量数量/上一年度末平台访问量数量-1)×100%</w:t>
            </w:r>
          </w:p>
        </w:tc>
        <w:tc>
          <w:tcPr>
            <w:tcW w:w="2671"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80"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single" w:color="auto" w:sz="4" w:space="0"/>
              <w:left w:val="single" w:color="auto" w:sz="4"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APP下载量</w:t>
            </w:r>
          </w:p>
        </w:tc>
        <w:tc>
          <w:tcPr>
            <w:tcW w:w="685"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次</w:t>
            </w:r>
          </w:p>
        </w:tc>
        <w:tc>
          <w:tcPr>
            <w:tcW w:w="4714"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1.报告年度内，企业主要运营的移动端App的下载量。</w:t>
            </w:r>
          </w:p>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2.此数字应与申报书一致。</w:t>
            </w:r>
          </w:p>
        </w:tc>
        <w:tc>
          <w:tcPr>
            <w:tcW w:w="2671" w:type="dxa"/>
            <w:tcBorders>
              <w:top w:val="nil"/>
              <w:left w:val="nil"/>
              <w:bottom w:val="single" w:color="auto" w:sz="4"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r>
        <w:tblPrEx>
          <w:tblLayout w:type="fixed"/>
          <w:tblCellMar>
            <w:top w:w="0" w:type="dxa"/>
            <w:left w:w="108" w:type="dxa"/>
            <w:bottom w:w="0" w:type="dxa"/>
            <w:right w:w="108" w:type="dxa"/>
          </w:tblCellMar>
        </w:tblPrEx>
        <w:trPr>
          <w:trHeight w:val="492" w:hRule="atLeast"/>
          <w:jc w:val="center"/>
        </w:trPr>
        <w:tc>
          <w:tcPr>
            <w:tcW w:w="1171" w:type="dxa"/>
            <w:vMerge w:val="continue"/>
            <w:tcBorders>
              <w:top w:val="nil"/>
              <w:left w:val="single" w:color="auto" w:sz="8"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2297" w:type="dxa"/>
            <w:vMerge w:val="continue"/>
            <w:tcBorders>
              <w:top w:val="single" w:color="auto" w:sz="4" w:space="0"/>
              <w:left w:val="single" w:color="auto" w:sz="4" w:space="0"/>
              <w:bottom w:val="single" w:color="000000" w:sz="8" w:space="0"/>
              <w:right w:val="single" w:color="auto" w:sz="4" w:space="0"/>
            </w:tcBorders>
            <w:vAlign w:val="center"/>
          </w:tcPr>
          <w:p>
            <w:pPr>
              <w:widowControl/>
              <w:spacing w:before="156" w:after="156" w:line="280" w:lineRule="exact"/>
              <w:ind w:firstLine="400"/>
              <w:jc w:val="left"/>
              <w:rPr>
                <w:rFonts w:cs="宋体"/>
                <w:color w:val="000000"/>
                <w:kern w:val="0"/>
                <w:sz w:val="20"/>
                <w:szCs w:val="20"/>
              </w:rPr>
            </w:pPr>
          </w:p>
        </w:tc>
        <w:tc>
          <w:tcPr>
            <w:tcW w:w="3143" w:type="dxa"/>
            <w:tcBorders>
              <w:top w:val="nil"/>
              <w:left w:val="nil"/>
              <w:bottom w:val="single" w:color="auto" w:sz="8"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APP量增长率</w:t>
            </w:r>
          </w:p>
        </w:tc>
        <w:tc>
          <w:tcPr>
            <w:tcW w:w="685" w:type="dxa"/>
            <w:tcBorders>
              <w:top w:val="nil"/>
              <w:left w:val="nil"/>
              <w:bottom w:val="single" w:color="auto" w:sz="8" w:space="0"/>
              <w:right w:val="single" w:color="auto" w:sz="4" w:space="0"/>
            </w:tcBorders>
            <w:shd w:val="clear" w:color="auto" w:fill="auto"/>
            <w:vAlign w:val="center"/>
          </w:tcPr>
          <w:p>
            <w:pPr>
              <w:widowControl/>
              <w:spacing w:before="156" w:after="156" w:line="280" w:lineRule="exact"/>
              <w:ind w:firstLine="0" w:firstLineChars="0"/>
              <w:jc w:val="center"/>
              <w:rPr>
                <w:rFonts w:cs="宋体"/>
                <w:color w:val="000000"/>
                <w:kern w:val="0"/>
                <w:sz w:val="20"/>
                <w:szCs w:val="20"/>
              </w:rPr>
            </w:pPr>
            <w:r>
              <w:rPr>
                <w:rFonts w:hint="eastAsia" w:cs="宋体"/>
                <w:color w:val="000000"/>
                <w:kern w:val="0"/>
                <w:sz w:val="20"/>
                <w:szCs w:val="20"/>
              </w:rPr>
              <w:t>%</w:t>
            </w:r>
          </w:p>
        </w:tc>
        <w:tc>
          <w:tcPr>
            <w:tcW w:w="4714" w:type="dxa"/>
            <w:tcBorders>
              <w:top w:val="nil"/>
              <w:left w:val="nil"/>
              <w:bottom w:val="single" w:color="auto" w:sz="8" w:space="0"/>
              <w:right w:val="single" w:color="auto" w:sz="4"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计算公式为：(报告年度末APP下载量/上一年度末APP下载量-1)×100%</w:t>
            </w:r>
          </w:p>
        </w:tc>
        <w:tc>
          <w:tcPr>
            <w:tcW w:w="2671" w:type="dxa"/>
            <w:tcBorders>
              <w:top w:val="nil"/>
              <w:left w:val="nil"/>
              <w:bottom w:val="single" w:color="auto" w:sz="4" w:space="0"/>
              <w:right w:val="single" w:color="auto" w:sz="8" w:space="0"/>
            </w:tcBorders>
            <w:shd w:val="clear" w:color="auto" w:fill="auto"/>
            <w:vAlign w:val="center"/>
          </w:tcPr>
          <w:p>
            <w:pPr>
              <w:widowControl/>
              <w:spacing w:before="156" w:after="156" w:line="280" w:lineRule="exact"/>
              <w:ind w:firstLine="0" w:firstLineChars="0"/>
              <w:jc w:val="left"/>
              <w:rPr>
                <w:rFonts w:cs="宋体"/>
                <w:color w:val="000000"/>
                <w:kern w:val="0"/>
                <w:sz w:val="20"/>
                <w:szCs w:val="20"/>
              </w:rPr>
            </w:pPr>
            <w:r>
              <w:rPr>
                <w:rFonts w:hint="eastAsia" w:cs="宋体"/>
                <w:color w:val="000000"/>
                <w:kern w:val="0"/>
                <w:sz w:val="20"/>
                <w:szCs w:val="20"/>
              </w:rPr>
              <w:t>企业自行填报，能体现该项内容的相关证明材料。</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仿宋"/>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E1F97"/>
    <w:rsid w:val="05DE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ind w:firstLine="560" w:firstLineChars="200"/>
      <w:jc w:val="both"/>
    </w:pPr>
    <w:rPr>
      <w:rFonts w:ascii="宋体" w:hAnsi="宋体" w:eastAsia="宋体" w:cs="Times New Roman"/>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2020-11-13T08:10:00Z</dcterms:created>
  <dc:creator>陈灏</dc:creator>
  <cp:lastModifiedBy>陈灏</cp:lastModifiedBy>
  <dcterms:modified xsi:type="dcterms:W3CDTF">2020-11-13T08:10:52Z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